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FAE7A" w14:textId="77777777" w:rsidR="00677D12" w:rsidRPr="004C6A5D" w:rsidRDefault="00A9138D">
      <w:pPr>
        <w:pStyle w:val="Plattetekst"/>
        <w:rPr>
          <w:rFonts w:ascii="Times New Roman"/>
          <w:sz w:val="22"/>
          <w:szCs w:val="22"/>
        </w:rPr>
      </w:pPr>
      <w:r w:rsidRPr="004C6A5D">
        <w:rPr>
          <w:noProof/>
          <w:sz w:val="22"/>
          <w:szCs w:val="22"/>
          <w:lang w:eastAsia="nl-NL"/>
        </w:rPr>
        <w:drawing>
          <wp:anchor distT="0" distB="0" distL="0" distR="0" simplePos="0" relativeHeight="15729152" behindDoc="0" locked="0" layoutInCell="1" allowOverlap="1" wp14:anchorId="23954979" wp14:editId="31307A21">
            <wp:simplePos x="0" y="0"/>
            <wp:positionH relativeFrom="page">
              <wp:posOffset>0</wp:posOffset>
            </wp:positionH>
            <wp:positionV relativeFrom="page">
              <wp:posOffset>0</wp:posOffset>
            </wp:positionV>
            <wp:extent cx="7558404" cy="252666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7558404" cy="2526665"/>
                    </a:xfrm>
                    <a:prstGeom prst="rect">
                      <a:avLst/>
                    </a:prstGeom>
                  </pic:spPr>
                </pic:pic>
              </a:graphicData>
            </a:graphic>
          </wp:anchor>
        </w:drawing>
      </w:r>
    </w:p>
    <w:p w14:paraId="62B54DAB" w14:textId="77777777" w:rsidR="00677D12" w:rsidRPr="004C6A5D" w:rsidRDefault="00677D12">
      <w:pPr>
        <w:pStyle w:val="Plattetekst"/>
        <w:rPr>
          <w:rFonts w:ascii="Times New Roman"/>
          <w:sz w:val="22"/>
          <w:szCs w:val="22"/>
        </w:rPr>
      </w:pPr>
    </w:p>
    <w:p w14:paraId="607180AC" w14:textId="77777777" w:rsidR="00677D12" w:rsidRPr="004C6A5D" w:rsidRDefault="00677D12">
      <w:pPr>
        <w:pStyle w:val="Plattetekst"/>
        <w:rPr>
          <w:rFonts w:ascii="Times New Roman"/>
          <w:sz w:val="22"/>
          <w:szCs w:val="22"/>
        </w:rPr>
      </w:pPr>
    </w:p>
    <w:p w14:paraId="7D62215E" w14:textId="77777777" w:rsidR="00677D12" w:rsidRPr="004C6A5D" w:rsidRDefault="00677D12">
      <w:pPr>
        <w:pStyle w:val="Plattetekst"/>
        <w:rPr>
          <w:rFonts w:ascii="Times New Roman"/>
          <w:sz w:val="22"/>
          <w:szCs w:val="22"/>
        </w:rPr>
      </w:pPr>
    </w:p>
    <w:p w14:paraId="38A72004" w14:textId="77777777" w:rsidR="00677D12" w:rsidRPr="004C6A5D" w:rsidRDefault="00677D12">
      <w:pPr>
        <w:pStyle w:val="Plattetekst"/>
        <w:rPr>
          <w:rFonts w:ascii="Times New Roman"/>
          <w:sz w:val="22"/>
          <w:szCs w:val="22"/>
        </w:rPr>
      </w:pPr>
    </w:p>
    <w:p w14:paraId="7E83FF82" w14:textId="77777777" w:rsidR="00677D12" w:rsidRPr="004C6A5D" w:rsidRDefault="00677D12">
      <w:pPr>
        <w:pStyle w:val="Plattetekst"/>
        <w:rPr>
          <w:rFonts w:ascii="Times New Roman"/>
          <w:sz w:val="22"/>
          <w:szCs w:val="22"/>
        </w:rPr>
      </w:pPr>
    </w:p>
    <w:p w14:paraId="28EE1810" w14:textId="77777777" w:rsidR="00677D12" w:rsidRPr="004C6A5D" w:rsidRDefault="00677D12">
      <w:pPr>
        <w:pStyle w:val="Plattetekst"/>
        <w:rPr>
          <w:rFonts w:ascii="Times New Roman"/>
          <w:sz w:val="22"/>
          <w:szCs w:val="22"/>
        </w:rPr>
      </w:pPr>
    </w:p>
    <w:p w14:paraId="511DDEC6" w14:textId="77777777" w:rsidR="00677D12" w:rsidRPr="004C6A5D" w:rsidRDefault="00677D12">
      <w:pPr>
        <w:pStyle w:val="Plattetekst"/>
        <w:rPr>
          <w:rFonts w:ascii="Times New Roman"/>
          <w:sz w:val="22"/>
          <w:szCs w:val="22"/>
        </w:rPr>
      </w:pPr>
    </w:p>
    <w:p w14:paraId="01F83E48" w14:textId="77777777" w:rsidR="00677D12" w:rsidRPr="004C6A5D" w:rsidRDefault="00677D12">
      <w:pPr>
        <w:pStyle w:val="Plattetekst"/>
        <w:rPr>
          <w:rFonts w:ascii="Times New Roman"/>
          <w:sz w:val="22"/>
          <w:szCs w:val="22"/>
        </w:rPr>
      </w:pPr>
    </w:p>
    <w:p w14:paraId="2B79F64C" w14:textId="77777777" w:rsidR="00677D12" w:rsidRPr="004C6A5D" w:rsidRDefault="00677D12">
      <w:pPr>
        <w:pStyle w:val="Plattetekst"/>
        <w:spacing w:before="374"/>
        <w:rPr>
          <w:rFonts w:ascii="Times New Roman"/>
          <w:sz w:val="22"/>
          <w:szCs w:val="22"/>
        </w:rPr>
      </w:pPr>
    </w:p>
    <w:p w14:paraId="00EA868D" w14:textId="2068B9EC" w:rsidR="00677D12" w:rsidRPr="004C6A5D" w:rsidRDefault="002B4CCF">
      <w:pPr>
        <w:pStyle w:val="Titel"/>
        <w:spacing w:line="276" w:lineRule="auto"/>
        <w:ind w:firstLine="0"/>
      </w:pPr>
      <w:r w:rsidRPr="004C6A5D">
        <w:rPr>
          <w:color w:val="004493"/>
        </w:rPr>
        <w:t xml:space="preserve"> </w:t>
      </w:r>
      <w:r w:rsidR="00D13954">
        <w:rPr>
          <w:color w:val="004493"/>
        </w:rPr>
        <w:t>K</w:t>
      </w:r>
      <w:r w:rsidR="00A9138D" w:rsidRPr="004C6A5D">
        <w:rPr>
          <w:color w:val="004493"/>
        </w:rPr>
        <w:t>lachtenformulier voor de Civil Liberties Protection Officer (functionaris voor de bescherming van de burgerlijke vrijheden, CLPO)</w:t>
      </w:r>
      <w:r w:rsidR="00D86022" w:rsidRPr="004C6A5D">
        <w:rPr>
          <w:rStyle w:val="Voetnootmarkering"/>
          <w:color w:val="004493"/>
        </w:rPr>
        <w:footnoteReference w:id="1"/>
      </w:r>
      <w:r w:rsidR="00A9138D" w:rsidRPr="004C6A5D">
        <w:rPr>
          <w:color w:val="004493"/>
        </w:rPr>
        <w:t xml:space="preserve"> van het Amerikaanse Bureau van de directeur van de nationale inlichtingendienst</w:t>
      </w:r>
    </w:p>
    <w:p w14:paraId="40387789" w14:textId="77777777" w:rsidR="00677D12" w:rsidRPr="004C6A5D" w:rsidRDefault="00677D12">
      <w:pPr>
        <w:pStyle w:val="Plattetekst"/>
        <w:spacing w:before="40"/>
        <w:rPr>
          <w:b/>
          <w:sz w:val="36"/>
          <w:szCs w:val="36"/>
        </w:rPr>
      </w:pPr>
    </w:p>
    <w:p w14:paraId="514E91F8" w14:textId="02A2CCD5" w:rsidR="00677D12" w:rsidRPr="004C6A5D" w:rsidRDefault="00F60044">
      <w:pPr>
        <w:pStyle w:val="Titel"/>
        <w:spacing w:line="276" w:lineRule="auto"/>
        <w:ind w:left="195" w:right="197"/>
      </w:pPr>
      <w:r>
        <w:rPr>
          <w:color w:val="004493"/>
        </w:rPr>
        <w:t>Klacht</w:t>
      </w:r>
      <w:r w:rsidR="00A9138D" w:rsidRPr="004C6A5D">
        <w:rPr>
          <w:color w:val="004493"/>
        </w:rPr>
        <w:t xml:space="preserve">mechanisme voor personen uit de EU/EER in verband met vermeende schendingen van de Amerikaanse wetgeving met betrekking tot hun </w:t>
      </w:r>
      <w:r>
        <w:rPr>
          <w:color w:val="004493"/>
        </w:rPr>
        <w:t>persoons</w:t>
      </w:r>
      <w:r w:rsidR="00A9138D" w:rsidRPr="004C6A5D">
        <w:rPr>
          <w:color w:val="004493"/>
        </w:rPr>
        <w:t>gegevens die zijn verzameld door Amerikaanse autoriteiten die bevoegd zijn voor de nationale veiligheid</w:t>
      </w:r>
    </w:p>
    <w:p w14:paraId="4E42BC2C" w14:textId="77777777" w:rsidR="00677D12" w:rsidRPr="004C6A5D" w:rsidRDefault="00677D12">
      <w:pPr>
        <w:pStyle w:val="Plattetekst"/>
        <w:spacing w:before="37"/>
        <w:rPr>
          <w:b/>
          <w:sz w:val="36"/>
          <w:szCs w:val="36"/>
        </w:rPr>
      </w:pPr>
    </w:p>
    <w:p w14:paraId="7139BF18" w14:textId="77777777" w:rsidR="00677D12" w:rsidRPr="004C6A5D" w:rsidRDefault="00A9138D">
      <w:pPr>
        <w:spacing w:before="1"/>
        <w:ind w:left="147" w:right="148"/>
        <w:jc w:val="center"/>
        <w:rPr>
          <w:b/>
        </w:rPr>
      </w:pPr>
      <w:r w:rsidRPr="004C6A5D">
        <w:rPr>
          <w:b/>
          <w:color w:val="004493"/>
          <w:sz w:val="36"/>
          <w:szCs w:val="36"/>
        </w:rPr>
        <w:t>Vastgesteld op 17 april 2024</w:t>
      </w:r>
    </w:p>
    <w:p w14:paraId="4F64F720" w14:textId="77777777" w:rsidR="00677D12" w:rsidRPr="004C6A5D" w:rsidRDefault="00677D12">
      <w:pPr>
        <w:pStyle w:val="Plattetekst"/>
        <w:rPr>
          <w:b/>
          <w:sz w:val="22"/>
          <w:szCs w:val="22"/>
        </w:rPr>
      </w:pPr>
    </w:p>
    <w:p w14:paraId="6F6966C1" w14:textId="77777777" w:rsidR="00677D12" w:rsidRPr="004C6A5D" w:rsidRDefault="00677D12">
      <w:pPr>
        <w:pStyle w:val="Plattetekst"/>
        <w:rPr>
          <w:b/>
          <w:sz w:val="22"/>
          <w:szCs w:val="22"/>
        </w:rPr>
      </w:pPr>
    </w:p>
    <w:p w14:paraId="3997FC0A" w14:textId="77777777" w:rsidR="00677D12" w:rsidRPr="004C6A5D" w:rsidRDefault="00677D12">
      <w:pPr>
        <w:pStyle w:val="Plattetekst"/>
        <w:rPr>
          <w:b/>
          <w:sz w:val="22"/>
          <w:szCs w:val="22"/>
        </w:rPr>
      </w:pPr>
    </w:p>
    <w:p w14:paraId="16ACE447" w14:textId="77777777" w:rsidR="00677D12" w:rsidRPr="004C6A5D" w:rsidRDefault="00677D12">
      <w:pPr>
        <w:pStyle w:val="Plattetekst"/>
        <w:rPr>
          <w:b/>
          <w:sz w:val="22"/>
          <w:szCs w:val="22"/>
        </w:rPr>
      </w:pPr>
    </w:p>
    <w:p w14:paraId="01BE26B4" w14:textId="77777777" w:rsidR="00677D12" w:rsidRPr="004C6A5D" w:rsidRDefault="00677D12">
      <w:pPr>
        <w:pStyle w:val="Plattetekst"/>
        <w:rPr>
          <w:b/>
          <w:sz w:val="22"/>
          <w:szCs w:val="22"/>
        </w:rPr>
      </w:pPr>
    </w:p>
    <w:p w14:paraId="76DF6FA0" w14:textId="77777777" w:rsidR="00677D12" w:rsidRPr="004C6A5D" w:rsidRDefault="00677D12">
      <w:pPr>
        <w:pStyle w:val="Plattetekst"/>
        <w:rPr>
          <w:b/>
          <w:sz w:val="22"/>
          <w:szCs w:val="22"/>
        </w:rPr>
      </w:pPr>
    </w:p>
    <w:p w14:paraId="74CA3BB8" w14:textId="77777777" w:rsidR="00677D12" w:rsidRPr="004C6A5D" w:rsidRDefault="00677D12">
      <w:pPr>
        <w:pStyle w:val="Plattetekst"/>
        <w:rPr>
          <w:b/>
          <w:sz w:val="22"/>
          <w:szCs w:val="22"/>
        </w:rPr>
      </w:pPr>
    </w:p>
    <w:p w14:paraId="0D61F6A9" w14:textId="77777777" w:rsidR="00677D12" w:rsidRPr="004C6A5D" w:rsidRDefault="00677D12">
      <w:pPr>
        <w:pStyle w:val="Plattetekst"/>
        <w:rPr>
          <w:b/>
          <w:sz w:val="22"/>
          <w:szCs w:val="22"/>
        </w:rPr>
      </w:pPr>
    </w:p>
    <w:p w14:paraId="3B2270F1" w14:textId="77777777" w:rsidR="00677D12" w:rsidRPr="004C6A5D" w:rsidRDefault="00677D12">
      <w:pPr>
        <w:sectPr w:rsidR="00677D12" w:rsidRPr="004C6A5D" w:rsidSect="00A9138D">
          <w:type w:val="continuous"/>
          <w:pgSz w:w="11910" w:h="16840"/>
          <w:pgMar w:top="1440" w:right="1440" w:bottom="1440" w:left="1440" w:header="708" w:footer="708" w:gutter="0"/>
          <w:cols w:space="708"/>
          <w:docGrid w:linePitch="299"/>
        </w:sectPr>
      </w:pPr>
    </w:p>
    <w:p w14:paraId="3353A43E" w14:textId="77777777" w:rsidR="00677D12" w:rsidRPr="004C6A5D" w:rsidRDefault="00A9138D">
      <w:pPr>
        <w:pStyle w:val="Kop1"/>
        <w:spacing w:before="37"/>
        <w:rPr>
          <w:sz w:val="22"/>
          <w:szCs w:val="22"/>
        </w:rPr>
      </w:pPr>
      <w:r w:rsidRPr="004C6A5D">
        <w:rPr>
          <w:sz w:val="22"/>
          <w:szCs w:val="22"/>
          <w:u w:val="single"/>
        </w:rPr>
        <w:lastRenderedPageBreak/>
        <w:t>Doel van dit formulier</w:t>
      </w:r>
    </w:p>
    <w:p w14:paraId="2AD0BE6F" w14:textId="152AC549" w:rsidR="00677D12" w:rsidRPr="004C6A5D" w:rsidRDefault="00A9138D">
      <w:pPr>
        <w:pStyle w:val="Plattetekst"/>
        <w:spacing w:before="202"/>
        <w:ind w:left="115" w:right="113"/>
        <w:jc w:val="both"/>
        <w:rPr>
          <w:sz w:val="22"/>
          <w:szCs w:val="22"/>
        </w:rPr>
      </w:pPr>
      <w:bookmarkStart w:id="0" w:name="_GoBack"/>
      <w:bookmarkEnd w:id="0"/>
      <w:r w:rsidRPr="004C6A5D">
        <w:rPr>
          <w:sz w:val="22"/>
          <w:szCs w:val="22"/>
        </w:rPr>
        <w:t xml:space="preserve">Met dit formulier kunnen personen in EU- </w:t>
      </w:r>
      <w:r w:rsidRPr="00F24864">
        <w:rPr>
          <w:sz w:val="22"/>
          <w:szCs w:val="22"/>
        </w:rPr>
        <w:t>of EER-lidstaten</w:t>
      </w:r>
      <w:r w:rsidRPr="004C6A5D">
        <w:rPr>
          <w:sz w:val="22"/>
          <w:szCs w:val="22"/>
        </w:rPr>
        <w:t xml:space="preserve"> klachten indienen over onrechtmatige toegang tot en onrechtmatig gebruik van</w:t>
      </w:r>
      <w:r w:rsidR="00F60044">
        <w:rPr>
          <w:sz w:val="22"/>
          <w:szCs w:val="22"/>
        </w:rPr>
        <w:t xml:space="preserve"> hun</w:t>
      </w:r>
      <w:r w:rsidRPr="004C6A5D">
        <w:rPr>
          <w:sz w:val="22"/>
          <w:szCs w:val="22"/>
        </w:rPr>
        <w:t xml:space="preserve"> </w:t>
      </w:r>
      <w:r w:rsidR="00F60044">
        <w:rPr>
          <w:sz w:val="22"/>
          <w:szCs w:val="22"/>
        </w:rPr>
        <w:t>persoons</w:t>
      </w:r>
      <w:r w:rsidRPr="004C6A5D">
        <w:rPr>
          <w:sz w:val="22"/>
          <w:szCs w:val="22"/>
        </w:rPr>
        <w:t>gegevens door Amerikaanse inlichtingendiensten die vanuit de EU</w:t>
      </w:r>
      <w:r w:rsidR="00AE1D20">
        <w:rPr>
          <w:sz w:val="22"/>
          <w:szCs w:val="22"/>
        </w:rPr>
        <w:t>/EER</w:t>
      </w:r>
      <w:r w:rsidRPr="004C6A5D">
        <w:rPr>
          <w:sz w:val="22"/>
          <w:szCs w:val="22"/>
        </w:rPr>
        <w:t xml:space="preserve"> zijn doorgegeven aan bedrijven in de V</w:t>
      </w:r>
      <w:r w:rsidR="00F60044">
        <w:rPr>
          <w:sz w:val="22"/>
          <w:szCs w:val="22"/>
        </w:rPr>
        <w:t xml:space="preserve">erenigde </w:t>
      </w:r>
      <w:r w:rsidRPr="004C6A5D">
        <w:rPr>
          <w:sz w:val="22"/>
          <w:szCs w:val="22"/>
        </w:rPr>
        <w:t>S</w:t>
      </w:r>
      <w:r w:rsidR="00F60044">
        <w:rPr>
          <w:sz w:val="22"/>
          <w:szCs w:val="22"/>
        </w:rPr>
        <w:t>taten</w:t>
      </w:r>
      <w:r w:rsidRPr="004C6A5D">
        <w:rPr>
          <w:sz w:val="22"/>
          <w:szCs w:val="22"/>
        </w:rPr>
        <w:t xml:space="preserve">.  Dit </w:t>
      </w:r>
      <w:r w:rsidR="00F60044">
        <w:rPr>
          <w:sz w:val="22"/>
          <w:szCs w:val="22"/>
        </w:rPr>
        <w:t>klacht</w:t>
      </w:r>
      <w:r w:rsidRPr="004C6A5D">
        <w:rPr>
          <w:sz w:val="22"/>
          <w:szCs w:val="22"/>
        </w:rPr>
        <w:t>mechanisme is van toepassing op alle persoonsgegevens die vanuit de EU/EER</w:t>
      </w:r>
      <w:r w:rsidR="00D86022" w:rsidRPr="004C6A5D">
        <w:rPr>
          <w:rStyle w:val="Voetnootmarkering"/>
          <w:sz w:val="22"/>
          <w:szCs w:val="22"/>
        </w:rPr>
        <w:footnoteReference w:id="2"/>
      </w:r>
      <w:r w:rsidRPr="004C6A5D">
        <w:rPr>
          <w:sz w:val="22"/>
          <w:szCs w:val="22"/>
        </w:rPr>
        <w:t xml:space="preserve"> naar de V</w:t>
      </w:r>
      <w:r w:rsidR="00F60044">
        <w:rPr>
          <w:sz w:val="22"/>
          <w:szCs w:val="22"/>
        </w:rPr>
        <w:t xml:space="preserve">erenigde </w:t>
      </w:r>
      <w:r w:rsidRPr="004C6A5D">
        <w:rPr>
          <w:sz w:val="22"/>
          <w:szCs w:val="22"/>
        </w:rPr>
        <w:t>S</w:t>
      </w:r>
      <w:r w:rsidR="00F60044">
        <w:rPr>
          <w:sz w:val="22"/>
          <w:szCs w:val="22"/>
        </w:rPr>
        <w:t>taten</w:t>
      </w:r>
      <w:r w:rsidRPr="004C6A5D">
        <w:rPr>
          <w:sz w:val="22"/>
          <w:szCs w:val="22"/>
        </w:rPr>
        <w:t xml:space="preserve"> zijn doorgegeven (d.w.z. niet alleen die welke zijn doorgegeven op basis van het EU-</w:t>
      </w:r>
      <w:r w:rsidR="00F60044">
        <w:rPr>
          <w:sz w:val="22"/>
          <w:szCs w:val="22"/>
        </w:rPr>
        <w:t>U</w:t>
      </w:r>
      <w:r w:rsidRPr="004C6A5D">
        <w:rPr>
          <w:sz w:val="22"/>
          <w:szCs w:val="22"/>
        </w:rPr>
        <w:t>S-</w:t>
      </w:r>
      <w:r w:rsidR="00627B51">
        <w:rPr>
          <w:sz w:val="22"/>
          <w:szCs w:val="22"/>
        </w:rPr>
        <w:t>Data P</w:t>
      </w:r>
      <w:r w:rsidR="002A6BE0">
        <w:rPr>
          <w:sz w:val="22"/>
          <w:szCs w:val="22"/>
        </w:rPr>
        <w:t>rivacy</w:t>
      </w:r>
      <w:r w:rsidR="00627B51">
        <w:rPr>
          <w:sz w:val="22"/>
          <w:szCs w:val="22"/>
        </w:rPr>
        <w:t xml:space="preserve"> Framework</w:t>
      </w:r>
      <w:r w:rsidR="00D86022" w:rsidRPr="004C6A5D">
        <w:rPr>
          <w:rStyle w:val="Voetnootmarkering"/>
          <w:sz w:val="22"/>
          <w:szCs w:val="22"/>
        </w:rPr>
        <w:footnoteReference w:id="3"/>
      </w:r>
      <w:r w:rsidRPr="004C6A5D">
        <w:rPr>
          <w:sz w:val="22"/>
          <w:szCs w:val="22"/>
        </w:rPr>
        <w:t xml:space="preserve"> (“</w:t>
      </w:r>
      <w:r w:rsidRPr="004C6A5D">
        <w:rPr>
          <w:b/>
          <w:bCs/>
          <w:sz w:val="22"/>
          <w:szCs w:val="22"/>
        </w:rPr>
        <w:t>DPF</w:t>
      </w:r>
      <w:r w:rsidRPr="004C6A5D">
        <w:rPr>
          <w:sz w:val="22"/>
          <w:szCs w:val="22"/>
        </w:rPr>
        <w:t>”)</w:t>
      </w:r>
      <w:r w:rsidR="00D86022" w:rsidRPr="004C6A5D">
        <w:rPr>
          <w:rStyle w:val="Voetnootmarkering"/>
          <w:sz w:val="22"/>
          <w:szCs w:val="22"/>
        </w:rPr>
        <w:footnoteReference w:id="4"/>
      </w:r>
      <w:r w:rsidR="002A6BE0">
        <w:rPr>
          <w:sz w:val="22"/>
          <w:szCs w:val="22"/>
        </w:rPr>
        <w:t xml:space="preserve">. </w:t>
      </w:r>
      <w:r w:rsidR="002A6BE0" w:rsidRPr="00AE1D20">
        <w:rPr>
          <w:b/>
          <w:sz w:val="22"/>
          <w:szCs w:val="22"/>
        </w:rPr>
        <w:t>Let op</w:t>
      </w:r>
      <w:r w:rsidR="002A6BE0">
        <w:rPr>
          <w:sz w:val="22"/>
          <w:szCs w:val="22"/>
        </w:rPr>
        <w:t>:</w:t>
      </w:r>
      <w:r w:rsidRPr="004C6A5D">
        <w:rPr>
          <w:sz w:val="22"/>
          <w:szCs w:val="22"/>
        </w:rPr>
        <w:t xml:space="preserve"> dit geldt </w:t>
      </w:r>
      <w:r w:rsidR="002A6BE0">
        <w:rPr>
          <w:sz w:val="22"/>
          <w:szCs w:val="22"/>
        </w:rPr>
        <w:t xml:space="preserve">alleen </w:t>
      </w:r>
      <w:r w:rsidRPr="004C6A5D">
        <w:rPr>
          <w:sz w:val="22"/>
          <w:szCs w:val="22"/>
        </w:rPr>
        <w:t xml:space="preserve">voor gegevens die zijn doorgegeven </w:t>
      </w:r>
      <w:r w:rsidRPr="004C6A5D">
        <w:rPr>
          <w:b/>
          <w:bCs/>
          <w:sz w:val="22"/>
          <w:szCs w:val="22"/>
        </w:rPr>
        <w:t>ná 10 juli 2023</w:t>
      </w:r>
      <w:r w:rsidR="003C62DE" w:rsidRPr="004C6A5D">
        <w:rPr>
          <w:rStyle w:val="Voetnootmarkering"/>
          <w:b/>
          <w:bCs/>
          <w:sz w:val="22"/>
          <w:szCs w:val="22"/>
        </w:rPr>
        <w:footnoteReference w:id="5"/>
      </w:r>
      <w:r w:rsidRPr="004C6A5D">
        <w:rPr>
          <w:sz w:val="22"/>
          <w:szCs w:val="22"/>
        </w:rPr>
        <w:t>.</w:t>
      </w:r>
    </w:p>
    <w:p w14:paraId="25266EFC" w14:textId="12764D59" w:rsidR="00677D12" w:rsidRPr="004C6A5D" w:rsidRDefault="00A9138D">
      <w:pPr>
        <w:pStyle w:val="Plattetekst"/>
        <w:spacing w:before="197"/>
        <w:ind w:left="115" w:right="113"/>
        <w:jc w:val="both"/>
        <w:rPr>
          <w:i/>
          <w:sz w:val="22"/>
          <w:szCs w:val="22"/>
        </w:rPr>
      </w:pPr>
      <w:r w:rsidRPr="004C6A5D">
        <w:rPr>
          <w:sz w:val="22"/>
          <w:szCs w:val="22"/>
        </w:rPr>
        <w:t xml:space="preserve">Dit formulier is alleen van toepassing op klachten op het gebied van </w:t>
      </w:r>
      <w:r w:rsidRPr="00AE1D20">
        <w:rPr>
          <w:sz w:val="22"/>
          <w:szCs w:val="22"/>
          <w:u w:val="single"/>
        </w:rPr>
        <w:t xml:space="preserve">activiteiten </w:t>
      </w:r>
      <w:r w:rsidRPr="00AE1D20">
        <w:rPr>
          <w:sz w:val="22"/>
          <w:szCs w:val="22"/>
        </w:rPr>
        <w:t xml:space="preserve">met betrekking tot </w:t>
      </w:r>
      <w:r w:rsidRPr="00AE1D20">
        <w:rPr>
          <w:sz w:val="22"/>
          <w:szCs w:val="22"/>
          <w:u w:val="single"/>
        </w:rPr>
        <w:t>inlichtingen uit het berichtenverkeer in verband met de nationale veiligheid</w:t>
      </w:r>
      <w:r w:rsidR="00AE1D20">
        <w:rPr>
          <w:sz w:val="22"/>
          <w:szCs w:val="22"/>
          <w:u w:val="single"/>
        </w:rPr>
        <w:t>.</w:t>
      </w:r>
      <w:r w:rsidR="00F24864" w:rsidRPr="00AE1D20">
        <w:rPr>
          <w:rStyle w:val="Voetnootmarkering"/>
          <w:sz w:val="22"/>
          <w:szCs w:val="22"/>
          <w:u w:val="single"/>
        </w:rPr>
        <w:footnoteReference w:id="6"/>
      </w:r>
      <w:r w:rsidRPr="004C6A5D">
        <w:rPr>
          <w:sz w:val="22"/>
          <w:szCs w:val="22"/>
        </w:rPr>
        <w:t xml:space="preserve"> Het kan niet worden gebruikt om een klacht in te dienen met betrekking tot toegang tot gegevens door Amerikaanse autoriteiten voor andere doeleinden dan nationale veiligheidsdoeleinden. Dit formulier kan ook niet worden gebruikt om een klacht in te dienen met betrekking tot de naleving door een Amerikaanse organisatie van het EU-</w:t>
      </w:r>
      <w:r w:rsidR="00F60044">
        <w:rPr>
          <w:sz w:val="22"/>
          <w:szCs w:val="22"/>
        </w:rPr>
        <w:t>U</w:t>
      </w:r>
      <w:r w:rsidRPr="004C6A5D">
        <w:rPr>
          <w:sz w:val="22"/>
          <w:szCs w:val="22"/>
        </w:rPr>
        <w:t xml:space="preserve">S-DPF. Informatie over hoe een klacht kan worden ingediend over de </w:t>
      </w:r>
      <w:r w:rsidR="002A6BE0">
        <w:rPr>
          <w:sz w:val="22"/>
          <w:szCs w:val="22"/>
        </w:rPr>
        <w:t>commerciële</w:t>
      </w:r>
      <w:r w:rsidRPr="004C6A5D">
        <w:rPr>
          <w:sz w:val="22"/>
          <w:szCs w:val="22"/>
        </w:rPr>
        <w:t xml:space="preserve"> aspecten van het </w:t>
      </w:r>
      <w:r w:rsidR="00F60044">
        <w:rPr>
          <w:sz w:val="22"/>
          <w:szCs w:val="22"/>
        </w:rPr>
        <w:t>DPF</w:t>
      </w:r>
      <w:r w:rsidR="00AE1D20">
        <w:rPr>
          <w:sz w:val="22"/>
          <w:szCs w:val="22"/>
        </w:rPr>
        <w:t xml:space="preserve"> is hier te vinden: </w:t>
      </w:r>
      <w:hyperlink r:id="rId9" w:anchor="klacht-over-amerikaans-bedrijf" w:history="1">
        <w:r w:rsidR="004B4475" w:rsidRPr="004B4475">
          <w:rPr>
            <w:rStyle w:val="Hyperlink"/>
            <w:sz w:val="22"/>
            <w:szCs w:val="22"/>
          </w:rPr>
          <w:t>Klacht over Amerikaans bedrijf</w:t>
        </w:r>
      </w:hyperlink>
      <w:r w:rsidR="004B4475">
        <w:rPr>
          <w:sz w:val="22"/>
          <w:szCs w:val="22"/>
        </w:rPr>
        <w:t>.</w:t>
      </w:r>
    </w:p>
    <w:p w14:paraId="4E7C7809" w14:textId="77777777" w:rsidR="00677D12" w:rsidRPr="004C6A5D" w:rsidRDefault="00A9138D">
      <w:pPr>
        <w:pStyle w:val="Kop1"/>
        <w:spacing w:before="204"/>
        <w:jc w:val="both"/>
        <w:rPr>
          <w:sz w:val="22"/>
          <w:szCs w:val="22"/>
        </w:rPr>
      </w:pPr>
      <w:r w:rsidRPr="004C6A5D">
        <w:rPr>
          <w:sz w:val="22"/>
          <w:szCs w:val="22"/>
          <w:u w:val="single"/>
        </w:rPr>
        <w:t>Aan wie moet ik de klacht richten?</w:t>
      </w:r>
    </w:p>
    <w:p w14:paraId="1815DDD8" w14:textId="3EA406DD" w:rsidR="00677D12" w:rsidRPr="00D13954" w:rsidRDefault="00A9138D">
      <w:pPr>
        <w:spacing w:before="197" w:line="242" w:lineRule="auto"/>
        <w:ind w:left="115" w:right="114"/>
        <w:jc w:val="both"/>
      </w:pPr>
      <w:r w:rsidRPr="004C6A5D">
        <w:t xml:space="preserve">U moet dit klachtenformulier indienen bij </w:t>
      </w:r>
      <w:r w:rsidRPr="004C6A5D">
        <w:rPr>
          <w:b/>
          <w:bCs/>
        </w:rPr>
        <w:t xml:space="preserve">uw nationale </w:t>
      </w:r>
      <w:r w:rsidR="00F60044">
        <w:rPr>
          <w:b/>
          <w:bCs/>
        </w:rPr>
        <w:t>toezichthoude</w:t>
      </w:r>
      <w:r w:rsidR="00F24864">
        <w:rPr>
          <w:b/>
          <w:bCs/>
        </w:rPr>
        <w:t>nde autoriteit</w:t>
      </w:r>
      <w:r w:rsidRPr="004C6A5D">
        <w:t xml:space="preserve">. </w:t>
      </w:r>
      <w:r w:rsidR="00AE1D20" w:rsidRPr="00AE1D20">
        <w:t>In Nederland is dit de Autoriteit Persoonsgegevens.</w:t>
      </w:r>
      <w:r w:rsidR="00AE1D20" w:rsidRPr="00AE1D20">
        <w:t xml:space="preserve"> </w:t>
      </w:r>
      <w:r w:rsidRPr="004C6A5D">
        <w:t xml:space="preserve">Een lijst van de </w:t>
      </w:r>
      <w:r w:rsidR="00F60044">
        <w:t>toezichthoude</w:t>
      </w:r>
      <w:r w:rsidR="00F24864">
        <w:t xml:space="preserve">nde autoriteiten </w:t>
      </w:r>
      <w:r w:rsidRPr="004C6A5D">
        <w:t xml:space="preserve"> in de EU/EER-lidstaten is hier te vinden: </w:t>
      </w:r>
      <w:hyperlink r:id="rId10">
        <w:r w:rsidRPr="004C6A5D">
          <w:rPr>
            <w:color w:val="0000FF"/>
            <w:u w:val="single" w:color="0000FF"/>
          </w:rPr>
          <w:t>https://edpb.europa.eu/about-edpb/about-edpb/members en</w:t>
        </w:r>
      </w:hyperlink>
      <w:r w:rsidRPr="004C6A5D">
        <w:rPr>
          <w:color w:val="0000FF"/>
          <w:u w:val="single" w:color="0000FF"/>
        </w:rPr>
        <w:t>.</w:t>
      </w:r>
      <w:r w:rsidR="00D13954">
        <w:rPr>
          <w:color w:val="0000FF"/>
          <w:u w:val="single" w:color="0000FF"/>
        </w:rPr>
        <w:t xml:space="preserve"> </w:t>
      </w:r>
    </w:p>
    <w:p w14:paraId="19EC6284" w14:textId="77777777" w:rsidR="00677D12" w:rsidRPr="004C6A5D" w:rsidRDefault="00A9138D">
      <w:pPr>
        <w:pStyle w:val="Kop1"/>
        <w:spacing w:before="192"/>
        <w:jc w:val="both"/>
        <w:rPr>
          <w:sz w:val="22"/>
          <w:szCs w:val="22"/>
        </w:rPr>
      </w:pPr>
      <w:r w:rsidRPr="004C6A5D">
        <w:rPr>
          <w:sz w:val="22"/>
          <w:szCs w:val="22"/>
          <w:u w:val="single"/>
        </w:rPr>
        <w:t>Aanvullende informatie</w:t>
      </w:r>
    </w:p>
    <w:p w14:paraId="1C8C1A87" w14:textId="7D6707A9" w:rsidR="00677D12" w:rsidRPr="004C6A5D" w:rsidRDefault="00D13954" w:rsidP="005B68A0">
      <w:pPr>
        <w:pStyle w:val="Plattetekst"/>
        <w:spacing w:before="202"/>
        <w:ind w:left="115" w:right="113"/>
        <w:jc w:val="both"/>
        <w:rPr>
          <w:sz w:val="22"/>
          <w:szCs w:val="22"/>
        </w:rPr>
      </w:pPr>
      <w:r>
        <w:rPr>
          <w:sz w:val="22"/>
          <w:szCs w:val="22"/>
        </w:rPr>
        <w:t>Nadat</w:t>
      </w:r>
      <w:r w:rsidR="00A9138D" w:rsidRPr="004C6A5D">
        <w:rPr>
          <w:sz w:val="22"/>
          <w:szCs w:val="22"/>
        </w:rPr>
        <w:t xml:space="preserve"> u uw klacht bij uw nationale </w:t>
      </w:r>
      <w:r w:rsidR="00F60044">
        <w:rPr>
          <w:sz w:val="22"/>
          <w:szCs w:val="22"/>
        </w:rPr>
        <w:t>toezichthoude</w:t>
      </w:r>
      <w:r w:rsidR="00F24864">
        <w:rPr>
          <w:sz w:val="22"/>
          <w:szCs w:val="22"/>
        </w:rPr>
        <w:t>nde autoriteit</w:t>
      </w:r>
      <w:r w:rsidR="00A9138D" w:rsidRPr="004C6A5D">
        <w:rPr>
          <w:sz w:val="22"/>
          <w:szCs w:val="22"/>
        </w:rPr>
        <w:t xml:space="preserve"> </w:t>
      </w:r>
      <w:r>
        <w:rPr>
          <w:sz w:val="22"/>
          <w:szCs w:val="22"/>
        </w:rPr>
        <w:t xml:space="preserve">heeft </w:t>
      </w:r>
      <w:r w:rsidR="00A9138D" w:rsidRPr="004C6A5D">
        <w:rPr>
          <w:sz w:val="22"/>
          <w:szCs w:val="22"/>
        </w:rPr>
        <w:t>in</w:t>
      </w:r>
      <w:r>
        <w:rPr>
          <w:sz w:val="22"/>
          <w:szCs w:val="22"/>
        </w:rPr>
        <w:t>ge</w:t>
      </w:r>
      <w:r w:rsidR="00A9138D" w:rsidRPr="004C6A5D">
        <w:rPr>
          <w:sz w:val="22"/>
          <w:szCs w:val="22"/>
        </w:rPr>
        <w:t>dien</w:t>
      </w:r>
      <w:r>
        <w:rPr>
          <w:sz w:val="22"/>
          <w:szCs w:val="22"/>
        </w:rPr>
        <w:t>d</w:t>
      </w:r>
      <w:r w:rsidR="00A9138D" w:rsidRPr="004C6A5D">
        <w:rPr>
          <w:sz w:val="22"/>
          <w:szCs w:val="22"/>
        </w:rPr>
        <w:t>, zal deze de volledigheid ervan controleren,  uw identiteit</w:t>
      </w:r>
      <w:r>
        <w:rPr>
          <w:sz w:val="22"/>
          <w:szCs w:val="22"/>
        </w:rPr>
        <w:t xml:space="preserve"> bevestigen</w:t>
      </w:r>
      <w:r w:rsidR="00A9138D" w:rsidRPr="004C6A5D">
        <w:rPr>
          <w:sz w:val="22"/>
          <w:szCs w:val="22"/>
        </w:rPr>
        <w:t xml:space="preserve">, </w:t>
      </w:r>
      <w:r w:rsidR="00627B51">
        <w:rPr>
          <w:sz w:val="22"/>
          <w:szCs w:val="22"/>
        </w:rPr>
        <w:t>afhankelijk van hoe</w:t>
      </w:r>
      <w:r w:rsidR="00A9138D" w:rsidRPr="004C6A5D">
        <w:rPr>
          <w:sz w:val="22"/>
          <w:szCs w:val="22"/>
        </w:rPr>
        <w:t xml:space="preserve"> de </w:t>
      </w:r>
      <w:r w:rsidR="00F60044">
        <w:rPr>
          <w:sz w:val="22"/>
          <w:szCs w:val="22"/>
        </w:rPr>
        <w:t>toezichthoude</w:t>
      </w:r>
      <w:r w:rsidR="00F24864">
        <w:rPr>
          <w:sz w:val="22"/>
          <w:szCs w:val="22"/>
        </w:rPr>
        <w:t>nde autoriteit</w:t>
      </w:r>
      <w:r w:rsidR="00A9138D" w:rsidRPr="004C6A5D">
        <w:rPr>
          <w:sz w:val="22"/>
          <w:szCs w:val="22"/>
        </w:rPr>
        <w:t xml:space="preserve"> </w:t>
      </w:r>
      <w:r w:rsidR="00627B51">
        <w:rPr>
          <w:sz w:val="22"/>
          <w:szCs w:val="22"/>
        </w:rPr>
        <w:t>dit beoordeelt</w:t>
      </w:r>
      <w:r w:rsidR="00A9138D" w:rsidRPr="004C6A5D">
        <w:rPr>
          <w:sz w:val="22"/>
          <w:szCs w:val="22"/>
        </w:rPr>
        <w:t xml:space="preserve">, en </w:t>
      </w:r>
      <w:r w:rsidR="004C6A5D">
        <w:rPr>
          <w:sz w:val="22"/>
          <w:szCs w:val="22"/>
        </w:rPr>
        <w:t xml:space="preserve">nagaan </w:t>
      </w:r>
      <w:r w:rsidR="00A9138D" w:rsidRPr="004C6A5D">
        <w:rPr>
          <w:sz w:val="22"/>
          <w:szCs w:val="22"/>
        </w:rPr>
        <w:t>of uw klacht voldoet aan de voorwaarden</w:t>
      </w:r>
      <w:r w:rsidR="00F24864">
        <w:rPr>
          <w:rStyle w:val="Voetnootmarkering"/>
          <w:sz w:val="22"/>
          <w:szCs w:val="22"/>
        </w:rPr>
        <w:footnoteReference w:id="7"/>
      </w:r>
      <w:r w:rsidR="00A9138D" w:rsidRPr="004C6A5D">
        <w:rPr>
          <w:sz w:val="22"/>
          <w:szCs w:val="22"/>
        </w:rPr>
        <w:t xml:space="preserve">  van Executive Order 14086</w:t>
      </w:r>
      <w:r w:rsidR="003C62DE" w:rsidRPr="004C6A5D">
        <w:rPr>
          <w:rStyle w:val="Voetnootmarkering"/>
          <w:sz w:val="22"/>
          <w:szCs w:val="22"/>
        </w:rPr>
        <w:footnoteReference w:id="8"/>
      </w:r>
      <w:r w:rsidR="00A9138D" w:rsidRPr="004C6A5D">
        <w:rPr>
          <w:sz w:val="22"/>
          <w:szCs w:val="22"/>
        </w:rPr>
        <w:t xml:space="preserve">. Als alle gevraagde gegevens zijn ingevuld, kan uw </w:t>
      </w:r>
      <w:r w:rsidR="0049501C">
        <w:rPr>
          <w:sz w:val="22"/>
          <w:szCs w:val="22"/>
        </w:rPr>
        <w:t>toezichthouder</w:t>
      </w:r>
      <w:r w:rsidR="00A9138D" w:rsidRPr="004C6A5D">
        <w:rPr>
          <w:sz w:val="22"/>
          <w:szCs w:val="22"/>
        </w:rPr>
        <w:t xml:space="preserve">, voor zover nodig, </w:t>
      </w:r>
      <w:r w:rsidR="00A9138D" w:rsidRPr="004C6A5D">
        <w:rPr>
          <w:sz w:val="22"/>
          <w:szCs w:val="22"/>
        </w:rPr>
        <w:lastRenderedPageBreak/>
        <w:t>voorzien in een vertaling in het Engels.</w:t>
      </w:r>
      <w:r w:rsidR="00F15436" w:rsidRPr="004C6A5D">
        <w:rPr>
          <w:rStyle w:val="Voetnootmarkering"/>
          <w:sz w:val="22"/>
          <w:szCs w:val="22"/>
        </w:rPr>
        <w:footnoteReference w:id="9"/>
      </w:r>
    </w:p>
    <w:p w14:paraId="4DDA6BB7" w14:textId="7A487376" w:rsidR="00677D12" w:rsidRPr="004C6A5D" w:rsidRDefault="00A9138D">
      <w:pPr>
        <w:pStyle w:val="Plattetekst"/>
        <w:spacing w:before="57"/>
        <w:ind w:left="115" w:right="109"/>
        <w:jc w:val="both"/>
        <w:rPr>
          <w:sz w:val="22"/>
          <w:szCs w:val="22"/>
        </w:rPr>
      </w:pPr>
      <w:r w:rsidRPr="004C6A5D">
        <w:rPr>
          <w:sz w:val="22"/>
          <w:szCs w:val="22"/>
        </w:rPr>
        <w:t xml:space="preserve">Na deze eerste verificatie stuurt uw </w:t>
      </w:r>
      <w:r w:rsidR="0049501C">
        <w:rPr>
          <w:sz w:val="22"/>
          <w:szCs w:val="22"/>
        </w:rPr>
        <w:t xml:space="preserve">toezichthoudende </w:t>
      </w:r>
      <w:r w:rsidRPr="004C6A5D">
        <w:rPr>
          <w:sz w:val="22"/>
          <w:szCs w:val="22"/>
        </w:rPr>
        <w:t xml:space="preserve">autoriteit uw klacht, met inbegrip van uw persoonsgegevens, </w:t>
      </w:r>
      <w:r w:rsidR="00D86747">
        <w:rPr>
          <w:sz w:val="22"/>
          <w:szCs w:val="22"/>
        </w:rPr>
        <w:t xml:space="preserve">digitaal in versleutelde vorm </w:t>
      </w:r>
      <w:r w:rsidRPr="004C6A5D">
        <w:rPr>
          <w:sz w:val="22"/>
          <w:szCs w:val="22"/>
        </w:rPr>
        <w:t>door naar het EDPB-secretariaat, dat deze vervolgens doorstuurt naar de U.S. Civil Liberties Protection Officer ("CLPO") van het Amerikaanse Bureau van de directeur van de nationale inlichtingendienst</w:t>
      </w:r>
      <w:r w:rsidR="00D13954">
        <w:rPr>
          <w:sz w:val="22"/>
          <w:szCs w:val="22"/>
        </w:rPr>
        <w:t xml:space="preserve"> (ODNI)</w:t>
      </w:r>
      <w:r w:rsidR="00F15436" w:rsidRPr="004C6A5D">
        <w:rPr>
          <w:rStyle w:val="Voetnootmarkering"/>
          <w:sz w:val="22"/>
          <w:szCs w:val="22"/>
        </w:rPr>
        <w:footnoteReference w:id="10"/>
      </w:r>
      <w:r w:rsidRPr="004C6A5D">
        <w:rPr>
          <w:sz w:val="22"/>
          <w:szCs w:val="22"/>
        </w:rPr>
        <w:t>. Het EDPB-secretariaat stuurt uw klacht</w:t>
      </w:r>
      <w:r w:rsidR="00F24864">
        <w:rPr>
          <w:sz w:val="22"/>
          <w:szCs w:val="22"/>
        </w:rPr>
        <w:t xml:space="preserve"> digitaal</w:t>
      </w:r>
      <w:r w:rsidRPr="004C6A5D">
        <w:rPr>
          <w:sz w:val="22"/>
          <w:szCs w:val="22"/>
        </w:rPr>
        <w:t xml:space="preserve"> in versleutelde vorm door naar de CLPO ter verificatie. Zodra de CLPO heeft geverifieerd dat de klacht aan de noodzakelijke criteria voldoet, </w:t>
      </w:r>
      <w:r w:rsidR="0049501C">
        <w:rPr>
          <w:sz w:val="22"/>
          <w:szCs w:val="22"/>
        </w:rPr>
        <w:t>stelt</w:t>
      </w:r>
      <w:r w:rsidRPr="004C6A5D">
        <w:rPr>
          <w:sz w:val="22"/>
          <w:szCs w:val="22"/>
        </w:rPr>
        <w:t xml:space="preserve"> de CLPO een onderzoek in, </w:t>
      </w:r>
      <w:r w:rsidR="00D13954">
        <w:rPr>
          <w:sz w:val="22"/>
          <w:szCs w:val="22"/>
        </w:rPr>
        <w:t xml:space="preserve">voert </w:t>
      </w:r>
      <w:r w:rsidRPr="004C6A5D">
        <w:rPr>
          <w:sz w:val="22"/>
          <w:szCs w:val="22"/>
        </w:rPr>
        <w:t>een beoordeling uit en</w:t>
      </w:r>
      <w:r w:rsidR="0049501C">
        <w:rPr>
          <w:sz w:val="22"/>
          <w:szCs w:val="22"/>
        </w:rPr>
        <w:t xml:space="preserve"> zal deze</w:t>
      </w:r>
      <w:r w:rsidRPr="004C6A5D">
        <w:rPr>
          <w:sz w:val="22"/>
          <w:szCs w:val="22"/>
        </w:rPr>
        <w:t xml:space="preserve">, indien nodig, passende herstelmaatregelen gelasten (d.w.z. </w:t>
      </w:r>
      <w:r w:rsidR="00515606">
        <w:rPr>
          <w:sz w:val="22"/>
          <w:szCs w:val="22"/>
        </w:rPr>
        <w:t xml:space="preserve">juridische </w:t>
      </w:r>
      <w:r w:rsidRPr="004C6A5D">
        <w:rPr>
          <w:sz w:val="22"/>
          <w:szCs w:val="22"/>
        </w:rPr>
        <w:t>maatregelen om een vastgestelde schending met betrekking tot een specifieke klager en klacht volledig te herstellen)</w:t>
      </w:r>
      <w:r w:rsidR="00F15436" w:rsidRPr="004C6A5D">
        <w:rPr>
          <w:rStyle w:val="Voetnootmarkering"/>
          <w:sz w:val="22"/>
          <w:szCs w:val="22"/>
        </w:rPr>
        <w:footnoteReference w:id="11"/>
      </w:r>
      <w:r w:rsidRPr="004C6A5D">
        <w:rPr>
          <w:sz w:val="22"/>
          <w:szCs w:val="22"/>
        </w:rPr>
        <w:t xml:space="preserve">. Zodra de CLPO de beoordeling heeft voltooid, stuurt de CLPO </w:t>
      </w:r>
      <w:r w:rsidR="00515606">
        <w:rPr>
          <w:sz w:val="22"/>
          <w:szCs w:val="22"/>
        </w:rPr>
        <w:t>diens</w:t>
      </w:r>
      <w:r w:rsidR="00515606" w:rsidRPr="004C6A5D">
        <w:rPr>
          <w:sz w:val="22"/>
          <w:szCs w:val="22"/>
        </w:rPr>
        <w:t xml:space="preserve"> </w:t>
      </w:r>
      <w:r w:rsidRPr="004C6A5D">
        <w:rPr>
          <w:sz w:val="22"/>
          <w:szCs w:val="22"/>
        </w:rPr>
        <w:t>antwoord</w:t>
      </w:r>
      <w:r w:rsidR="00F24864">
        <w:rPr>
          <w:sz w:val="22"/>
          <w:szCs w:val="22"/>
        </w:rPr>
        <w:t xml:space="preserve"> digitaal</w:t>
      </w:r>
      <w:r w:rsidRPr="004C6A5D">
        <w:rPr>
          <w:sz w:val="22"/>
          <w:szCs w:val="22"/>
        </w:rPr>
        <w:t xml:space="preserve"> in versleutelde vorm naar het EDPB-secretariaat, dat het doorstuurt naar uw </w:t>
      </w:r>
      <w:r w:rsidR="0049501C">
        <w:rPr>
          <w:sz w:val="22"/>
          <w:szCs w:val="22"/>
        </w:rPr>
        <w:t>toezichthoude</w:t>
      </w:r>
      <w:r w:rsidR="00F24864">
        <w:rPr>
          <w:sz w:val="22"/>
          <w:szCs w:val="22"/>
        </w:rPr>
        <w:t>nde autoriteit</w:t>
      </w:r>
      <w:r w:rsidRPr="004C6A5D">
        <w:rPr>
          <w:sz w:val="22"/>
          <w:szCs w:val="22"/>
        </w:rPr>
        <w:t xml:space="preserve">, zodat deze u over het resultaat ervan kan informeren. In dat standaard antwoord wordt </w:t>
      </w:r>
      <w:r w:rsidR="00515606">
        <w:rPr>
          <w:sz w:val="22"/>
          <w:szCs w:val="22"/>
        </w:rPr>
        <w:t>aangegeven</w:t>
      </w:r>
      <w:r w:rsidR="00515606" w:rsidRPr="004C6A5D">
        <w:rPr>
          <w:sz w:val="22"/>
          <w:szCs w:val="22"/>
        </w:rPr>
        <w:t xml:space="preserve"> </w:t>
      </w:r>
      <w:r w:rsidRPr="004C6A5D">
        <w:rPr>
          <w:sz w:val="22"/>
          <w:szCs w:val="22"/>
        </w:rPr>
        <w:t>dat: “</w:t>
      </w:r>
      <w:r w:rsidRPr="004C6A5D">
        <w:rPr>
          <w:i/>
          <w:iCs/>
          <w:sz w:val="22"/>
          <w:szCs w:val="22"/>
        </w:rPr>
        <w:t>bij de beoordeling geen onder E</w:t>
      </w:r>
      <w:r w:rsidR="0088505E" w:rsidRPr="004C6A5D">
        <w:rPr>
          <w:i/>
          <w:iCs/>
          <w:sz w:val="22"/>
          <w:szCs w:val="22"/>
        </w:rPr>
        <w:t>.</w:t>
      </w:r>
      <w:r w:rsidRPr="004C6A5D">
        <w:rPr>
          <w:i/>
          <w:iCs/>
          <w:sz w:val="22"/>
          <w:szCs w:val="22"/>
        </w:rPr>
        <w:t>O</w:t>
      </w:r>
      <w:r w:rsidR="0088505E" w:rsidRPr="004C6A5D">
        <w:rPr>
          <w:i/>
          <w:iCs/>
          <w:sz w:val="22"/>
          <w:szCs w:val="22"/>
        </w:rPr>
        <w:t>.</w:t>
      </w:r>
      <w:r w:rsidRPr="004C6A5D">
        <w:rPr>
          <w:i/>
          <w:iCs/>
          <w:sz w:val="22"/>
          <w:szCs w:val="22"/>
        </w:rPr>
        <w:t xml:space="preserve"> 14086 vallende </w:t>
      </w:r>
      <w:r w:rsidR="00515606">
        <w:rPr>
          <w:i/>
          <w:iCs/>
          <w:sz w:val="22"/>
          <w:szCs w:val="22"/>
        </w:rPr>
        <w:t xml:space="preserve">overtredingen </w:t>
      </w:r>
      <w:r w:rsidRPr="004C6A5D">
        <w:rPr>
          <w:i/>
          <w:iCs/>
          <w:sz w:val="22"/>
          <w:szCs w:val="22"/>
        </w:rPr>
        <w:t>aan het licht zijn gekomen</w:t>
      </w:r>
      <w:r w:rsidR="0049501C">
        <w:rPr>
          <w:i/>
          <w:iCs/>
          <w:sz w:val="22"/>
          <w:szCs w:val="22"/>
        </w:rPr>
        <w:t>”</w:t>
      </w:r>
      <w:r w:rsidR="00515606">
        <w:rPr>
          <w:i/>
          <w:iCs/>
          <w:sz w:val="22"/>
          <w:szCs w:val="22"/>
        </w:rPr>
        <w:t>,</w:t>
      </w:r>
      <w:r w:rsidRPr="004C6A5D">
        <w:rPr>
          <w:i/>
          <w:iCs/>
          <w:sz w:val="22"/>
          <w:szCs w:val="22"/>
        </w:rPr>
        <w:t xml:space="preserve"> </w:t>
      </w:r>
      <w:r w:rsidRPr="00AE1D20">
        <w:rPr>
          <w:iCs/>
          <w:sz w:val="22"/>
          <w:szCs w:val="22"/>
        </w:rPr>
        <w:t>of</w:t>
      </w:r>
      <w:r w:rsidR="0049501C">
        <w:rPr>
          <w:iCs/>
          <w:sz w:val="22"/>
          <w:szCs w:val="22"/>
        </w:rPr>
        <w:t>:</w:t>
      </w:r>
      <w:r w:rsidRPr="004C6A5D">
        <w:rPr>
          <w:i/>
          <w:iCs/>
          <w:sz w:val="22"/>
          <w:szCs w:val="22"/>
        </w:rPr>
        <w:t xml:space="preserve"> </w:t>
      </w:r>
      <w:r w:rsidR="0049501C">
        <w:rPr>
          <w:i/>
          <w:iCs/>
          <w:sz w:val="22"/>
          <w:szCs w:val="22"/>
        </w:rPr>
        <w:t>“</w:t>
      </w:r>
      <w:r w:rsidRPr="004C6A5D">
        <w:rPr>
          <w:i/>
          <w:iCs/>
          <w:sz w:val="22"/>
          <w:szCs w:val="22"/>
        </w:rPr>
        <w:t xml:space="preserve">dat de CLPO een besluit heeft genomen </w:t>
      </w:r>
      <w:r w:rsidR="00515606">
        <w:rPr>
          <w:i/>
          <w:iCs/>
          <w:sz w:val="22"/>
          <w:szCs w:val="22"/>
        </w:rPr>
        <w:t>om</w:t>
      </w:r>
      <w:r w:rsidRPr="004C6A5D">
        <w:rPr>
          <w:i/>
          <w:iCs/>
          <w:sz w:val="22"/>
          <w:szCs w:val="22"/>
        </w:rPr>
        <w:t xml:space="preserve"> passende herstelmaatregelen </w:t>
      </w:r>
      <w:r w:rsidR="00515606">
        <w:rPr>
          <w:i/>
          <w:iCs/>
          <w:sz w:val="22"/>
          <w:szCs w:val="22"/>
        </w:rPr>
        <w:t>te nemen</w:t>
      </w:r>
      <w:r w:rsidRPr="004C6A5D">
        <w:rPr>
          <w:i/>
          <w:iCs/>
          <w:sz w:val="22"/>
          <w:szCs w:val="22"/>
        </w:rPr>
        <w:t>”</w:t>
      </w:r>
      <w:r w:rsidRPr="004C6A5D">
        <w:rPr>
          <w:sz w:val="22"/>
          <w:szCs w:val="22"/>
        </w:rPr>
        <w:t>.</w:t>
      </w:r>
      <w:r w:rsidR="00F15436" w:rsidRPr="004C6A5D">
        <w:rPr>
          <w:rStyle w:val="Voetnootmarkering"/>
          <w:sz w:val="22"/>
          <w:szCs w:val="22"/>
        </w:rPr>
        <w:footnoteReference w:id="12"/>
      </w:r>
      <w:r w:rsidRPr="004C6A5D">
        <w:rPr>
          <w:sz w:val="22"/>
          <w:szCs w:val="22"/>
        </w:rPr>
        <w:t xml:space="preserve"> Houd er rekening mee dat in dit antwoord wordt bevestigd noch ontkend dat u het doelwit van surveillance bent geweest, en er evenmin</w:t>
      </w:r>
      <w:r w:rsidR="00515606">
        <w:rPr>
          <w:sz w:val="22"/>
          <w:szCs w:val="22"/>
        </w:rPr>
        <w:t xml:space="preserve"> wordt</w:t>
      </w:r>
      <w:r w:rsidRPr="004C6A5D">
        <w:rPr>
          <w:sz w:val="22"/>
          <w:szCs w:val="22"/>
        </w:rPr>
        <w:t xml:space="preserve"> bevestigd welke specifieke herstelmaatregelen zijn </w:t>
      </w:r>
      <w:r w:rsidR="00515606">
        <w:rPr>
          <w:sz w:val="22"/>
          <w:szCs w:val="22"/>
        </w:rPr>
        <w:t>genomen</w:t>
      </w:r>
      <w:r w:rsidRPr="004C6A5D">
        <w:rPr>
          <w:sz w:val="22"/>
          <w:szCs w:val="22"/>
        </w:rPr>
        <w:t xml:space="preserve">. Met deze kennisgeving informeert de CLPO u ook over de mogelijkheid om beroep in te stellen bij </w:t>
      </w:r>
      <w:r w:rsidR="00F24864">
        <w:rPr>
          <w:sz w:val="22"/>
          <w:szCs w:val="22"/>
        </w:rPr>
        <w:t>het</w:t>
      </w:r>
      <w:r w:rsidRPr="004C6A5D">
        <w:rPr>
          <w:sz w:val="22"/>
          <w:szCs w:val="22"/>
        </w:rPr>
        <w:t xml:space="preserve"> Data Protection Review Court (‘</w:t>
      </w:r>
      <w:r w:rsidRPr="004C6A5D">
        <w:rPr>
          <w:b/>
          <w:bCs/>
          <w:sz w:val="22"/>
          <w:szCs w:val="22"/>
        </w:rPr>
        <w:t>DPRC</w:t>
      </w:r>
      <w:r w:rsidRPr="004C6A5D">
        <w:rPr>
          <w:sz w:val="22"/>
          <w:szCs w:val="22"/>
        </w:rPr>
        <w:t xml:space="preserve">’) voor een </w:t>
      </w:r>
      <w:r w:rsidR="00D13954">
        <w:rPr>
          <w:sz w:val="22"/>
          <w:szCs w:val="22"/>
        </w:rPr>
        <w:t>herziening</w:t>
      </w:r>
      <w:r w:rsidRPr="004C6A5D">
        <w:rPr>
          <w:sz w:val="22"/>
          <w:szCs w:val="22"/>
        </w:rPr>
        <w:t xml:space="preserve"> van de vaststellingen van de CLPO.</w:t>
      </w:r>
    </w:p>
    <w:p w14:paraId="4F63235F" w14:textId="77777777" w:rsidR="00677D12" w:rsidRPr="004C6A5D" w:rsidRDefault="00677D12">
      <w:pPr>
        <w:pStyle w:val="Plattetekst"/>
        <w:spacing w:before="3"/>
        <w:rPr>
          <w:sz w:val="22"/>
          <w:szCs w:val="22"/>
        </w:rPr>
      </w:pPr>
    </w:p>
    <w:p w14:paraId="2950CFD3" w14:textId="1B0213B1" w:rsidR="00677D12" w:rsidRPr="004C6A5D" w:rsidRDefault="00A9138D">
      <w:pPr>
        <w:pStyle w:val="Plattetekst"/>
        <w:ind w:left="115" w:right="112"/>
        <w:jc w:val="both"/>
        <w:rPr>
          <w:sz w:val="22"/>
          <w:szCs w:val="22"/>
        </w:rPr>
      </w:pPr>
      <w:r w:rsidRPr="004C6A5D">
        <w:rPr>
          <w:sz w:val="22"/>
          <w:szCs w:val="22"/>
        </w:rPr>
        <w:t xml:space="preserve">U hebt de mogelijkheid om tegen het besluit van de ODNI CLPO </w:t>
      </w:r>
      <w:r w:rsidRPr="004C6A5D">
        <w:rPr>
          <w:b/>
          <w:bCs/>
          <w:sz w:val="22"/>
          <w:szCs w:val="22"/>
        </w:rPr>
        <w:t>beroep</w:t>
      </w:r>
      <w:r w:rsidRPr="004C6A5D">
        <w:rPr>
          <w:sz w:val="22"/>
          <w:szCs w:val="22"/>
        </w:rPr>
        <w:t xml:space="preserve"> in te stellen bij </w:t>
      </w:r>
      <w:r w:rsidR="00F24864">
        <w:rPr>
          <w:sz w:val="22"/>
          <w:szCs w:val="22"/>
        </w:rPr>
        <w:t>het</w:t>
      </w:r>
      <w:r w:rsidRPr="004C6A5D">
        <w:rPr>
          <w:sz w:val="22"/>
          <w:szCs w:val="22"/>
        </w:rPr>
        <w:t xml:space="preserve"> DPRC </w:t>
      </w:r>
      <w:r w:rsidRPr="004C6A5D">
        <w:rPr>
          <w:b/>
          <w:bCs/>
          <w:sz w:val="22"/>
          <w:szCs w:val="22"/>
        </w:rPr>
        <w:t>binnen 60 dagen</w:t>
      </w:r>
      <w:r w:rsidRPr="004C6A5D">
        <w:rPr>
          <w:sz w:val="22"/>
          <w:szCs w:val="22"/>
        </w:rPr>
        <w:t xml:space="preserve"> na</w:t>
      </w:r>
      <w:r w:rsidR="00D13954">
        <w:rPr>
          <w:sz w:val="22"/>
          <w:szCs w:val="22"/>
        </w:rPr>
        <w:t>dat u van</w:t>
      </w:r>
      <w:r w:rsidRPr="004C6A5D">
        <w:rPr>
          <w:sz w:val="22"/>
          <w:szCs w:val="22"/>
        </w:rPr>
        <w:t xml:space="preserve"> uw </w:t>
      </w:r>
      <w:r w:rsidR="0049501C">
        <w:rPr>
          <w:sz w:val="22"/>
          <w:szCs w:val="22"/>
        </w:rPr>
        <w:t>toezichthoude</w:t>
      </w:r>
      <w:r w:rsidR="00F24864">
        <w:rPr>
          <w:sz w:val="22"/>
          <w:szCs w:val="22"/>
        </w:rPr>
        <w:t>nde autoriteit</w:t>
      </w:r>
      <w:r w:rsidR="0049501C" w:rsidRPr="004C6A5D">
        <w:rPr>
          <w:sz w:val="22"/>
          <w:szCs w:val="22"/>
        </w:rPr>
        <w:t xml:space="preserve"> </w:t>
      </w:r>
      <w:r w:rsidRPr="004C6A5D">
        <w:rPr>
          <w:sz w:val="22"/>
          <w:szCs w:val="22"/>
        </w:rPr>
        <w:t>het antwoord van de ODNI CLPO</w:t>
      </w:r>
      <w:r w:rsidR="00D13954">
        <w:rPr>
          <w:sz w:val="22"/>
          <w:szCs w:val="22"/>
        </w:rPr>
        <w:t xml:space="preserve"> heeft ontvangen</w:t>
      </w:r>
      <w:r w:rsidRPr="004C6A5D">
        <w:rPr>
          <w:sz w:val="22"/>
          <w:szCs w:val="22"/>
        </w:rPr>
        <w:t xml:space="preserve">. U kunt uw beroep indienen bij uw </w:t>
      </w:r>
      <w:r w:rsidR="0049501C">
        <w:rPr>
          <w:sz w:val="22"/>
          <w:szCs w:val="22"/>
        </w:rPr>
        <w:t>toezichthoude</w:t>
      </w:r>
      <w:r w:rsidR="00F24864">
        <w:rPr>
          <w:sz w:val="22"/>
          <w:szCs w:val="22"/>
        </w:rPr>
        <w:t>nde autoriteit</w:t>
      </w:r>
      <w:r w:rsidRPr="004C6A5D">
        <w:rPr>
          <w:sz w:val="22"/>
          <w:szCs w:val="22"/>
        </w:rPr>
        <w:t xml:space="preserve"> die het, net als uw oorspronkelijke klacht, (met inbegrip van een vertaling uit het Engels voor zover nodig)</w:t>
      </w:r>
      <w:r w:rsidR="00F24864">
        <w:rPr>
          <w:sz w:val="22"/>
          <w:szCs w:val="22"/>
        </w:rPr>
        <w:t xml:space="preserve"> digitaal</w:t>
      </w:r>
      <w:r w:rsidRPr="004C6A5D">
        <w:rPr>
          <w:sz w:val="22"/>
          <w:szCs w:val="22"/>
        </w:rPr>
        <w:t xml:space="preserve"> in </w:t>
      </w:r>
      <w:r w:rsidRPr="004C6A5D">
        <w:rPr>
          <w:sz w:val="22"/>
          <w:szCs w:val="22"/>
        </w:rPr>
        <w:lastRenderedPageBreak/>
        <w:t>versleutelde vorm toe</w:t>
      </w:r>
      <w:r w:rsidR="0049501C">
        <w:rPr>
          <w:sz w:val="22"/>
          <w:szCs w:val="22"/>
        </w:rPr>
        <w:t>stuurt</w:t>
      </w:r>
      <w:r w:rsidRPr="004C6A5D">
        <w:rPr>
          <w:sz w:val="22"/>
          <w:szCs w:val="22"/>
        </w:rPr>
        <w:t xml:space="preserve"> aan het EDPB-secretariaat. Het EDPB-secretariaat </w:t>
      </w:r>
      <w:r w:rsidR="0049501C">
        <w:rPr>
          <w:sz w:val="22"/>
          <w:szCs w:val="22"/>
        </w:rPr>
        <w:t>stuurt uw beroep</w:t>
      </w:r>
      <w:r w:rsidRPr="004C6A5D">
        <w:rPr>
          <w:sz w:val="22"/>
          <w:szCs w:val="22"/>
        </w:rPr>
        <w:t xml:space="preserve">  </w:t>
      </w:r>
      <w:r w:rsidR="00515606">
        <w:rPr>
          <w:sz w:val="22"/>
          <w:szCs w:val="22"/>
        </w:rPr>
        <w:t>vervolgens</w:t>
      </w:r>
      <w:r w:rsidRPr="004C6A5D">
        <w:rPr>
          <w:sz w:val="22"/>
          <w:szCs w:val="22"/>
        </w:rPr>
        <w:t xml:space="preserve"> in versleutelde vorm </w:t>
      </w:r>
      <w:r w:rsidR="00F24864">
        <w:rPr>
          <w:sz w:val="22"/>
          <w:szCs w:val="22"/>
        </w:rPr>
        <w:t>door</w:t>
      </w:r>
      <w:r w:rsidRPr="004C6A5D">
        <w:rPr>
          <w:sz w:val="22"/>
          <w:szCs w:val="22"/>
        </w:rPr>
        <w:t xml:space="preserve"> aan het Office of Privacy and Civil Liberties (‘OPCL’) van het Amerikaanse ministerie van Justitie, dat ondersteuning geeft aan </w:t>
      </w:r>
      <w:r w:rsidR="00F24864">
        <w:rPr>
          <w:sz w:val="22"/>
          <w:szCs w:val="22"/>
        </w:rPr>
        <w:t>het</w:t>
      </w:r>
      <w:r w:rsidRPr="004C6A5D">
        <w:rPr>
          <w:sz w:val="22"/>
          <w:szCs w:val="22"/>
        </w:rPr>
        <w:t xml:space="preserve"> DPRC</w:t>
      </w:r>
      <w:r w:rsidR="00F15436" w:rsidRPr="004C6A5D">
        <w:rPr>
          <w:rStyle w:val="Voetnootmarkering"/>
          <w:sz w:val="22"/>
          <w:szCs w:val="22"/>
        </w:rPr>
        <w:footnoteReference w:id="13"/>
      </w:r>
      <w:r w:rsidRPr="004C6A5D">
        <w:rPr>
          <w:sz w:val="22"/>
          <w:szCs w:val="22"/>
        </w:rPr>
        <w:t xml:space="preserve">. Nadat </w:t>
      </w:r>
      <w:r w:rsidR="00F24864">
        <w:rPr>
          <w:sz w:val="22"/>
          <w:szCs w:val="22"/>
        </w:rPr>
        <w:t>het</w:t>
      </w:r>
      <w:r w:rsidRPr="004C6A5D">
        <w:rPr>
          <w:sz w:val="22"/>
          <w:szCs w:val="22"/>
        </w:rPr>
        <w:t xml:space="preserve"> DPRC de </w:t>
      </w:r>
      <w:r w:rsidR="0049501C">
        <w:rPr>
          <w:sz w:val="22"/>
          <w:szCs w:val="22"/>
        </w:rPr>
        <w:t>beoordeling</w:t>
      </w:r>
      <w:r w:rsidRPr="004C6A5D">
        <w:rPr>
          <w:sz w:val="22"/>
          <w:szCs w:val="22"/>
        </w:rPr>
        <w:t xml:space="preserve"> van uw beroep heeft afgerond, wordt u</w:t>
      </w:r>
      <w:r w:rsidR="0049501C">
        <w:rPr>
          <w:sz w:val="22"/>
          <w:szCs w:val="22"/>
        </w:rPr>
        <w:t xml:space="preserve"> hiervan</w:t>
      </w:r>
      <w:r w:rsidRPr="004C6A5D">
        <w:rPr>
          <w:sz w:val="22"/>
          <w:szCs w:val="22"/>
        </w:rPr>
        <w:t xml:space="preserve"> via uw </w:t>
      </w:r>
      <w:r w:rsidR="0049501C">
        <w:rPr>
          <w:sz w:val="22"/>
          <w:szCs w:val="22"/>
        </w:rPr>
        <w:t>toezichthoude</w:t>
      </w:r>
      <w:r w:rsidR="00F24864">
        <w:rPr>
          <w:sz w:val="22"/>
          <w:szCs w:val="22"/>
        </w:rPr>
        <w:t>nde autoriteit</w:t>
      </w:r>
      <w:r w:rsidR="0049501C" w:rsidRPr="004C6A5D">
        <w:rPr>
          <w:sz w:val="22"/>
          <w:szCs w:val="22"/>
        </w:rPr>
        <w:t xml:space="preserve"> </w:t>
      </w:r>
      <w:r w:rsidRPr="004C6A5D">
        <w:rPr>
          <w:sz w:val="22"/>
          <w:szCs w:val="22"/>
        </w:rPr>
        <w:t xml:space="preserve">in kennis gesteld </w:t>
      </w:r>
      <w:r w:rsidR="00515606" w:rsidRPr="00515606">
        <w:rPr>
          <w:sz w:val="22"/>
          <w:szCs w:val="22"/>
        </w:rPr>
        <w:t>(met inbegrip van een vertaling uit het Engels voor zover nodig)</w:t>
      </w:r>
      <w:r w:rsidRPr="004C6A5D">
        <w:rPr>
          <w:sz w:val="22"/>
          <w:szCs w:val="22"/>
        </w:rPr>
        <w:t xml:space="preserve">. In de kennisgeving van </w:t>
      </w:r>
      <w:r w:rsidR="00F24864">
        <w:rPr>
          <w:sz w:val="22"/>
          <w:szCs w:val="22"/>
        </w:rPr>
        <w:t>het</w:t>
      </w:r>
      <w:r w:rsidRPr="004C6A5D">
        <w:rPr>
          <w:sz w:val="22"/>
          <w:szCs w:val="22"/>
        </w:rPr>
        <w:t xml:space="preserve"> DPRC staat een stand</w:t>
      </w:r>
      <w:r w:rsidR="004C6A5D" w:rsidRPr="004C6A5D">
        <w:rPr>
          <w:sz w:val="22"/>
          <w:szCs w:val="22"/>
        </w:rPr>
        <w:t>a</w:t>
      </w:r>
      <w:r w:rsidRPr="004C6A5D">
        <w:rPr>
          <w:sz w:val="22"/>
          <w:szCs w:val="22"/>
        </w:rPr>
        <w:t xml:space="preserve">ard antwoord, waarbij wordt gemeld dat </w:t>
      </w:r>
      <w:r w:rsidR="0049501C">
        <w:rPr>
          <w:sz w:val="22"/>
          <w:szCs w:val="22"/>
        </w:rPr>
        <w:t>“</w:t>
      </w:r>
      <w:r w:rsidRPr="00AE1D20">
        <w:rPr>
          <w:i/>
          <w:sz w:val="22"/>
          <w:szCs w:val="22"/>
        </w:rPr>
        <w:t>er bij de</w:t>
      </w:r>
      <w:r w:rsidRPr="004C6A5D">
        <w:rPr>
          <w:sz w:val="22"/>
          <w:szCs w:val="22"/>
        </w:rPr>
        <w:t xml:space="preserve"> </w:t>
      </w:r>
      <w:r w:rsidRPr="004C6A5D">
        <w:rPr>
          <w:i/>
          <w:iCs/>
          <w:sz w:val="22"/>
          <w:szCs w:val="22"/>
        </w:rPr>
        <w:t>toetsing geen onder E</w:t>
      </w:r>
      <w:r w:rsidR="0088505E" w:rsidRPr="004C6A5D">
        <w:rPr>
          <w:i/>
          <w:iCs/>
          <w:sz w:val="22"/>
          <w:szCs w:val="22"/>
        </w:rPr>
        <w:t>.</w:t>
      </w:r>
      <w:r w:rsidRPr="004C6A5D">
        <w:rPr>
          <w:i/>
          <w:iCs/>
          <w:sz w:val="22"/>
          <w:szCs w:val="22"/>
        </w:rPr>
        <w:t>O</w:t>
      </w:r>
      <w:r w:rsidR="0088505E" w:rsidRPr="004C6A5D">
        <w:rPr>
          <w:i/>
          <w:iCs/>
          <w:sz w:val="22"/>
          <w:szCs w:val="22"/>
        </w:rPr>
        <w:t>.</w:t>
      </w:r>
      <w:r w:rsidRPr="004C6A5D">
        <w:rPr>
          <w:i/>
          <w:iCs/>
          <w:sz w:val="22"/>
          <w:szCs w:val="22"/>
        </w:rPr>
        <w:t xml:space="preserve"> 14086 vallende </w:t>
      </w:r>
      <w:r w:rsidR="00515606">
        <w:rPr>
          <w:i/>
          <w:iCs/>
          <w:sz w:val="22"/>
          <w:szCs w:val="22"/>
        </w:rPr>
        <w:t>overtredingen</w:t>
      </w:r>
      <w:r w:rsidRPr="004C6A5D">
        <w:rPr>
          <w:i/>
          <w:iCs/>
          <w:sz w:val="22"/>
          <w:szCs w:val="22"/>
        </w:rPr>
        <w:t xml:space="preserve"> aan het licht zijn gekomen</w:t>
      </w:r>
      <w:r w:rsidR="0049501C">
        <w:rPr>
          <w:i/>
          <w:iCs/>
          <w:sz w:val="22"/>
          <w:szCs w:val="22"/>
        </w:rPr>
        <w:t>”</w:t>
      </w:r>
      <w:r w:rsidR="00515606">
        <w:rPr>
          <w:i/>
          <w:iCs/>
          <w:sz w:val="22"/>
          <w:szCs w:val="22"/>
        </w:rPr>
        <w:t>,</w:t>
      </w:r>
      <w:r w:rsidRPr="004C6A5D">
        <w:rPr>
          <w:i/>
          <w:iCs/>
          <w:sz w:val="22"/>
          <w:szCs w:val="22"/>
        </w:rPr>
        <w:t xml:space="preserve"> </w:t>
      </w:r>
      <w:r w:rsidRPr="00AE1D20">
        <w:rPr>
          <w:iCs/>
          <w:sz w:val="22"/>
          <w:szCs w:val="22"/>
        </w:rPr>
        <w:t>of</w:t>
      </w:r>
      <w:r w:rsidR="0049501C">
        <w:rPr>
          <w:iCs/>
          <w:sz w:val="22"/>
          <w:szCs w:val="22"/>
        </w:rPr>
        <w:t>:</w:t>
      </w:r>
      <w:r w:rsidRPr="004C6A5D">
        <w:rPr>
          <w:i/>
          <w:iCs/>
          <w:sz w:val="22"/>
          <w:szCs w:val="22"/>
        </w:rPr>
        <w:t xml:space="preserve"> </w:t>
      </w:r>
      <w:r w:rsidR="0049501C">
        <w:rPr>
          <w:i/>
          <w:iCs/>
          <w:sz w:val="22"/>
          <w:szCs w:val="22"/>
        </w:rPr>
        <w:t>“</w:t>
      </w:r>
      <w:r w:rsidRPr="004C6A5D">
        <w:rPr>
          <w:i/>
          <w:iCs/>
          <w:sz w:val="22"/>
          <w:szCs w:val="22"/>
        </w:rPr>
        <w:t xml:space="preserve">dat </w:t>
      </w:r>
      <w:r w:rsidR="00A60C1E" w:rsidRPr="004C6A5D">
        <w:rPr>
          <w:i/>
          <w:iCs/>
          <w:sz w:val="22"/>
          <w:szCs w:val="22"/>
        </w:rPr>
        <w:t>de</w:t>
      </w:r>
      <w:r w:rsidRPr="004C6A5D">
        <w:rPr>
          <w:i/>
          <w:iCs/>
          <w:sz w:val="22"/>
          <w:szCs w:val="22"/>
        </w:rPr>
        <w:t xml:space="preserve"> DPRC een besluit heeft genomen </w:t>
      </w:r>
      <w:r w:rsidR="00D13954">
        <w:rPr>
          <w:i/>
          <w:iCs/>
          <w:sz w:val="22"/>
          <w:szCs w:val="22"/>
        </w:rPr>
        <w:t>om</w:t>
      </w:r>
      <w:r w:rsidRPr="004C6A5D">
        <w:rPr>
          <w:i/>
          <w:iCs/>
          <w:sz w:val="22"/>
          <w:szCs w:val="22"/>
        </w:rPr>
        <w:t xml:space="preserve"> passende herstelmaatregelen </w:t>
      </w:r>
      <w:r w:rsidR="00D13954">
        <w:rPr>
          <w:i/>
          <w:iCs/>
          <w:sz w:val="22"/>
          <w:szCs w:val="22"/>
        </w:rPr>
        <w:t xml:space="preserve"> te nemen</w:t>
      </w:r>
      <w:r w:rsidRPr="004C6A5D">
        <w:rPr>
          <w:sz w:val="22"/>
          <w:szCs w:val="22"/>
        </w:rPr>
        <w:t>”</w:t>
      </w:r>
      <w:r w:rsidR="00F15436" w:rsidRPr="004C6A5D">
        <w:rPr>
          <w:rStyle w:val="Voetnootmarkering"/>
          <w:sz w:val="22"/>
          <w:szCs w:val="22"/>
        </w:rPr>
        <w:footnoteReference w:id="14"/>
      </w:r>
      <w:r w:rsidRPr="004C6A5D">
        <w:rPr>
          <w:sz w:val="22"/>
          <w:szCs w:val="22"/>
        </w:rPr>
        <w:t xml:space="preserve">. Houd er rekening mee dat in deze kennisgeving niet wordt bevestigd </w:t>
      </w:r>
      <w:r w:rsidR="00D86747">
        <w:rPr>
          <w:sz w:val="22"/>
          <w:szCs w:val="22"/>
        </w:rPr>
        <w:t xml:space="preserve">noch wordt </w:t>
      </w:r>
      <w:r w:rsidRPr="004C6A5D">
        <w:rPr>
          <w:sz w:val="22"/>
          <w:szCs w:val="22"/>
        </w:rPr>
        <w:t>ontkend dat u het doelwit van surveillance bent geweest, en er evenmin</w:t>
      </w:r>
      <w:r w:rsidR="00515606">
        <w:rPr>
          <w:sz w:val="22"/>
          <w:szCs w:val="22"/>
        </w:rPr>
        <w:t xml:space="preserve"> wordt</w:t>
      </w:r>
      <w:r w:rsidRPr="004C6A5D">
        <w:rPr>
          <w:sz w:val="22"/>
          <w:szCs w:val="22"/>
        </w:rPr>
        <w:t xml:space="preserve"> bevestigd welke specifieke herstelmaatregelen zijn </w:t>
      </w:r>
      <w:r w:rsidR="00515606">
        <w:rPr>
          <w:sz w:val="22"/>
          <w:szCs w:val="22"/>
        </w:rPr>
        <w:t>genomen</w:t>
      </w:r>
      <w:r w:rsidRPr="004C6A5D">
        <w:rPr>
          <w:sz w:val="22"/>
          <w:szCs w:val="22"/>
        </w:rPr>
        <w:t>.</w:t>
      </w:r>
    </w:p>
    <w:p w14:paraId="1C41A31A" w14:textId="40C7EABE" w:rsidR="00677D12" w:rsidRPr="004C6A5D" w:rsidRDefault="00A9138D">
      <w:pPr>
        <w:pStyle w:val="Plattetekst"/>
        <w:spacing w:before="197" w:line="242" w:lineRule="auto"/>
        <w:ind w:left="115" w:right="125"/>
        <w:jc w:val="both"/>
        <w:rPr>
          <w:sz w:val="22"/>
          <w:szCs w:val="22"/>
        </w:rPr>
      </w:pPr>
      <w:r w:rsidRPr="004C6A5D">
        <w:rPr>
          <w:sz w:val="22"/>
          <w:szCs w:val="22"/>
        </w:rPr>
        <w:t xml:space="preserve">Meer informatie over dit klachtenformulier en het onderliggende </w:t>
      </w:r>
      <w:r w:rsidR="0049501C">
        <w:rPr>
          <w:sz w:val="22"/>
          <w:szCs w:val="22"/>
        </w:rPr>
        <w:t>klacht</w:t>
      </w:r>
      <w:r w:rsidRPr="004C6A5D">
        <w:rPr>
          <w:sz w:val="22"/>
          <w:szCs w:val="22"/>
        </w:rPr>
        <w:t xml:space="preserve">mechanisme vindt u hier: </w:t>
      </w:r>
      <w:hyperlink r:id="rId11" w:anchor="klacht-over-amerikaanse-inlichtingendiensten" w:history="1">
        <w:r w:rsidR="004B4475" w:rsidRPr="004B4475">
          <w:rPr>
            <w:rStyle w:val="Hyperlink"/>
            <w:sz w:val="22"/>
            <w:szCs w:val="22"/>
          </w:rPr>
          <w:t>Klacht over Amerikaanse inlichtingendiensten</w:t>
        </w:r>
      </w:hyperlink>
      <w:r w:rsidR="004B4475">
        <w:rPr>
          <w:sz w:val="22"/>
          <w:szCs w:val="22"/>
        </w:rPr>
        <w:t>.</w:t>
      </w:r>
    </w:p>
    <w:p w14:paraId="1D1AE0EF" w14:textId="77777777" w:rsidR="00677D12" w:rsidRPr="004C6A5D" w:rsidRDefault="00677D12">
      <w:pPr>
        <w:pStyle w:val="Plattetekst"/>
        <w:rPr>
          <w:sz w:val="22"/>
          <w:szCs w:val="22"/>
        </w:rPr>
      </w:pPr>
    </w:p>
    <w:p w14:paraId="3C48AEA8" w14:textId="00990D09" w:rsidR="00677D12" w:rsidRPr="004C6A5D" w:rsidRDefault="00A9138D">
      <w:pPr>
        <w:ind w:left="115"/>
        <w:jc w:val="both"/>
      </w:pPr>
      <w:r w:rsidRPr="004C6A5D">
        <w:t xml:space="preserve"> </w:t>
      </w:r>
    </w:p>
    <w:p w14:paraId="0D622EA2" w14:textId="77777777" w:rsidR="00677D12" w:rsidRPr="004C6A5D" w:rsidRDefault="00A9138D">
      <w:pPr>
        <w:pStyle w:val="Kop1"/>
        <w:spacing w:before="32"/>
        <w:rPr>
          <w:sz w:val="22"/>
          <w:szCs w:val="22"/>
        </w:rPr>
      </w:pPr>
      <w:r w:rsidRPr="004C6A5D">
        <w:rPr>
          <w:sz w:val="22"/>
          <w:szCs w:val="22"/>
          <w:u w:val="single"/>
        </w:rPr>
        <w:t>Het in te vullen formulier</w:t>
      </w:r>
    </w:p>
    <w:p w14:paraId="0AA3C29D" w14:textId="084BE9E2" w:rsidR="00677D12" w:rsidRPr="004C6A5D" w:rsidRDefault="00A9138D">
      <w:pPr>
        <w:pStyle w:val="Plattetekst"/>
        <w:spacing w:before="197" w:line="242" w:lineRule="auto"/>
        <w:ind w:left="115"/>
        <w:rPr>
          <w:sz w:val="22"/>
          <w:szCs w:val="22"/>
        </w:rPr>
      </w:pPr>
      <w:r w:rsidRPr="004C6A5D">
        <w:rPr>
          <w:sz w:val="22"/>
          <w:szCs w:val="22"/>
        </w:rPr>
        <w:t xml:space="preserve">De volgende informatie wordt gevraagd voor de verificatie van uw klacht door uw </w:t>
      </w:r>
      <w:r w:rsidR="00AB1631">
        <w:rPr>
          <w:sz w:val="22"/>
          <w:szCs w:val="22"/>
        </w:rPr>
        <w:t>toezichthoude</w:t>
      </w:r>
      <w:r w:rsidR="00F24864">
        <w:rPr>
          <w:sz w:val="22"/>
          <w:szCs w:val="22"/>
        </w:rPr>
        <w:t>nde autoriteit</w:t>
      </w:r>
      <w:r w:rsidR="00AB1631" w:rsidRPr="004C6A5D">
        <w:rPr>
          <w:sz w:val="22"/>
          <w:szCs w:val="22"/>
        </w:rPr>
        <w:t xml:space="preserve"> </w:t>
      </w:r>
      <w:r w:rsidRPr="004C6A5D">
        <w:rPr>
          <w:sz w:val="22"/>
          <w:szCs w:val="22"/>
        </w:rPr>
        <w:t>en voor de verdere behandeling van uw klacht door de CLPO.</w:t>
      </w:r>
    </w:p>
    <w:p w14:paraId="476DB8A2" w14:textId="4CB68078" w:rsidR="00677D12" w:rsidRPr="004C6A5D" w:rsidRDefault="00D13954">
      <w:pPr>
        <w:pStyle w:val="Kop1"/>
        <w:numPr>
          <w:ilvl w:val="0"/>
          <w:numId w:val="2"/>
        </w:numPr>
        <w:tabs>
          <w:tab w:val="left" w:pos="899"/>
        </w:tabs>
        <w:spacing w:before="198"/>
        <w:ind w:left="899" w:hanging="359"/>
        <w:rPr>
          <w:sz w:val="22"/>
          <w:szCs w:val="22"/>
        </w:rPr>
      </w:pPr>
      <w:r>
        <w:rPr>
          <w:sz w:val="22"/>
          <w:szCs w:val="22"/>
        </w:rPr>
        <w:t>Vaststelling van u</w:t>
      </w:r>
      <w:r w:rsidR="00A9138D" w:rsidRPr="004C6A5D">
        <w:rPr>
          <w:sz w:val="22"/>
          <w:szCs w:val="22"/>
        </w:rPr>
        <w:t>w ident</w:t>
      </w:r>
      <w:r>
        <w:rPr>
          <w:sz w:val="22"/>
          <w:szCs w:val="22"/>
        </w:rPr>
        <w:t>iteit</w:t>
      </w:r>
    </w:p>
    <w:p w14:paraId="5750F026" w14:textId="77777777" w:rsidR="00677D12" w:rsidRPr="004C6A5D" w:rsidRDefault="00677D12">
      <w:pPr>
        <w:pStyle w:val="Plattetekst"/>
        <w:spacing w:before="92"/>
        <w:rPr>
          <w:b/>
          <w:sz w:val="22"/>
          <w:szCs w:val="22"/>
        </w:rPr>
      </w:pP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44"/>
      </w:tblGrid>
      <w:tr w:rsidR="00677D12" w:rsidRPr="004C6A5D" w14:paraId="11B65550" w14:textId="77777777">
        <w:trPr>
          <w:trHeight w:val="560"/>
        </w:trPr>
        <w:tc>
          <w:tcPr>
            <w:tcW w:w="8344" w:type="dxa"/>
          </w:tcPr>
          <w:p w14:paraId="5719BEB7" w14:textId="77777777" w:rsidR="00677D12" w:rsidRPr="004C6A5D" w:rsidRDefault="00A9138D">
            <w:pPr>
              <w:pStyle w:val="TableParagraph"/>
              <w:spacing w:before="0" w:line="289" w:lineRule="exact"/>
              <w:ind w:left="110"/>
              <w:rPr>
                <w:b/>
              </w:rPr>
            </w:pPr>
            <w:r w:rsidRPr="004C6A5D">
              <w:rPr>
                <w:b/>
              </w:rPr>
              <w:t>Gelieve de volgende informatie te verstrekken voor uw identificatie:</w:t>
            </w:r>
          </w:p>
        </w:tc>
      </w:tr>
      <w:tr w:rsidR="00677D12" w:rsidRPr="004C6A5D" w14:paraId="107EA624" w14:textId="77777777">
        <w:trPr>
          <w:trHeight w:val="340"/>
        </w:trPr>
        <w:tc>
          <w:tcPr>
            <w:tcW w:w="8344" w:type="dxa"/>
          </w:tcPr>
          <w:p w14:paraId="1AF3A7F2" w14:textId="77777777" w:rsidR="00677D12" w:rsidRPr="004C6A5D" w:rsidRDefault="00A9138D">
            <w:pPr>
              <w:pStyle w:val="TableParagraph"/>
            </w:pPr>
            <w:r w:rsidRPr="004C6A5D">
              <w:t xml:space="preserve">a. </w:t>
            </w:r>
            <w:r w:rsidRPr="004C6A5D">
              <w:tab/>
              <w:t>Achternaam/ familienaam:</w:t>
            </w:r>
          </w:p>
        </w:tc>
      </w:tr>
      <w:tr w:rsidR="00677D12" w:rsidRPr="00CB6AF3" w14:paraId="6D828FEC" w14:textId="77777777">
        <w:trPr>
          <w:trHeight w:val="335"/>
        </w:trPr>
        <w:tc>
          <w:tcPr>
            <w:tcW w:w="8344" w:type="dxa"/>
          </w:tcPr>
          <w:p w14:paraId="65B86188" w14:textId="77777777" w:rsidR="00677D12" w:rsidRPr="00CB6AF3" w:rsidRDefault="00A9138D">
            <w:pPr>
              <w:pStyle w:val="TableParagraph"/>
              <w:rPr>
                <w:lang w:val="es-ES"/>
              </w:rPr>
            </w:pPr>
            <w:r w:rsidRPr="00CB6AF3">
              <w:rPr>
                <w:lang w:val="es-ES"/>
              </w:rPr>
              <w:t>b.</w:t>
            </w:r>
            <w:r w:rsidRPr="00CB6AF3">
              <w:rPr>
                <w:lang w:val="es-ES"/>
              </w:rPr>
              <w:tab/>
              <w:t>Voorna(a)m(en):</w:t>
            </w:r>
          </w:p>
        </w:tc>
      </w:tr>
      <w:tr w:rsidR="00677D12" w:rsidRPr="004C6A5D" w14:paraId="34F72EF0" w14:textId="77777777">
        <w:trPr>
          <w:trHeight w:val="335"/>
        </w:trPr>
        <w:tc>
          <w:tcPr>
            <w:tcW w:w="8344" w:type="dxa"/>
          </w:tcPr>
          <w:p w14:paraId="44D831B1" w14:textId="77777777" w:rsidR="00677D12" w:rsidRPr="004C6A5D" w:rsidRDefault="00A9138D">
            <w:pPr>
              <w:pStyle w:val="TableParagraph"/>
            </w:pPr>
            <w:r w:rsidRPr="004C6A5D">
              <w:t xml:space="preserve">c. </w:t>
            </w:r>
            <w:r w:rsidRPr="004C6A5D">
              <w:tab/>
              <w:t>Meisjesnaam / Andere namen:</w:t>
            </w:r>
          </w:p>
        </w:tc>
      </w:tr>
      <w:tr w:rsidR="00677D12" w:rsidRPr="004C6A5D" w14:paraId="20B07F85" w14:textId="77777777">
        <w:trPr>
          <w:trHeight w:val="340"/>
        </w:trPr>
        <w:tc>
          <w:tcPr>
            <w:tcW w:w="8344" w:type="dxa"/>
          </w:tcPr>
          <w:p w14:paraId="09D08CA6" w14:textId="77777777" w:rsidR="00677D12" w:rsidRPr="004C6A5D" w:rsidRDefault="00A9138D">
            <w:pPr>
              <w:pStyle w:val="TableParagraph"/>
            </w:pPr>
            <w:r w:rsidRPr="004C6A5D">
              <w:t>d.</w:t>
            </w:r>
            <w:r w:rsidRPr="004C6A5D">
              <w:tab/>
              <w:t>Geboorteplaats:</w:t>
            </w:r>
          </w:p>
        </w:tc>
      </w:tr>
      <w:tr w:rsidR="00677D12" w:rsidRPr="004C6A5D" w14:paraId="06DDD5F3" w14:textId="77777777">
        <w:trPr>
          <w:trHeight w:val="335"/>
        </w:trPr>
        <w:tc>
          <w:tcPr>
            <w:tcW w:w="8344" w:type="dxa"/>
          </w:tcPr>
          <w:p w14:paraId="2E18C22C" w14:textId="77777777" w:rsidR="00677D12" w:rsidRPr="004C6A5D" w:rsidRDefault="00A9138D">
            <w:pPr>
              <w:pStyle w:val="TableParagraph"/>
              <w:spacing w:before="2"/>
            </w:pPr>
            <w:r w:rsidRPr="004C6A5D">
              <w:t>e.</w:t>
            </w:r>
            <w:r w:rsidRPr="004C6A5D">
              <w:tab/>
              <w:t>Geboortedatum:</w:t>
            </w:r>
          </w:p>
        </w:tc>
      </w:tr>
      <w:tr w:rsidR="00677D12" w:rsidRPr="004C6A5D" w14:paraId="5A49B478" w14:textId="77777777">
        <w:trPr>
          <w:trHeight w:val="335"/>
        </w:trPr>
        <w:tc>
          <w:tcPr>
            <w:tcW w:w="8344" w:type="dxa"/>
          </w:tcPr>
          <w:p w14:paraId="07657517" w14:textId="4E130752" w:rsidR="00677D12" w:rsidRPr="004C6A5D" w:rsidRDefault="00A9138D">
            <w:pPr>
              <w:pStyle w:val="TableParagraph"/>
              <w:tabs>
                <w:tab w:val="left" w:pos="1550"/>
              </w:tabs>
            </w:pPr>
            <w:r w:rsidRPr="004C6A5D">
              <w:t>f.</w:t>
            </w:r>
            <w:r w:rsidR="000B6FFC" w:rsidRPr="004C6A5D">
              <w:t xml:space="preserve"> </w:t>
            </w:r>
            <w:r w:rsidRPr="004C6A5D">
              <w:t>Titel (waar relevant):</w:t>
            </w:r>
          </w:p>
        </w:tc>
      </w:tr>
      <w:tr w:rsidR="00677D12" w:rsidRPr="004C6A5D" w14:paraId="21CE1337" w14:textId="77777777">
        <w:trPr>
          <w:trHeight w:val="340"/>
        </w:trPr>
        <w:tc>
          <w:tcPr>
            <w:tcW w:w="8344" w:type="dxa"/>
          </w:tcPr>
          <w:p w14:paraId="589D3383" w14:textId="314311B4" w:rsidR="00677D12" w:rsidRPr="004C6A5D" w:rsidRDefault="00A9138D">
            <w:pPr>
              <w:pStyle w:val="TableParagraph"/>
            </w:pPr>
            <w:r w:rsidRPr="004C6A5D">
              <w:t>g.</w:t>
            </w:r>
            <w:r w:rsidRPr="004C6A5D">
              <w:tab/>
              <w:t>Telefoonnummer</w:t>
            </w:r>
            <w:r w:rsidR="00F15436" w:rsidRPr="004C6A5D">
              <w:rPr>
                <w:rStyle w:val="Voetnootmarkering"/>
              </w:rPr>
              <w:footnoteReference w:id="15"/>
            </w:r>
            <w:r w:rsidRPr="004C6A5D">
              <w:t>:</w:t>
            </w:r>
          </w:p>
        </w:tc>
      </w:tr>
      <w:tr w:rsidR="00677D12" w:rsidRPr="004C6A5D" w14:paraId="6C0E52BF" w14:textId="77777777">
        <w:trPr>
          <w:trHeight w:val="335"/>
        </w:trPr>
        <w:tc>
          <w:tcPr>
            <w:tcW w:w="8344" w:type="dxa"/>
          </w:tcPr>
          <w:p w14:paraId="79C3EAA9" w14:textId="77777777" w:rsidR="00677D12" w:rsidRPr="004C6A5D" w:rsidRDefault="00A9138D">
            <w:pPr>
              <w:pStyle w:val="TableParagraph"/>
            </w:pPr>
            <w:r w:rsidRPr="004C6A5D">
              <w:t>h.</w:t>
            </w:r>
            <w:r w:rsidRPr="004C6A5D">
              <w:tab/>
              <w:t>Woonadres:</w:t>
            </w:r>
          </w:p>
        </w:tc>
      </w:tr>
    </w:tbl>
    <w:p w14:paraId="7C89653D" w14:textId="77777777" w:rsidR="00677D12" w:rsidRPr="004C6A5D" w:rsidRDefault="00677D12">
      <w:pPr>
        <w:pStyle w:val="Plattetekst"/>
        <w:rPr>
          <w:b/>
          <w:sz w:val="22"/>
          <w:szCs w:val="22"/>
        </w:rPr>
      </w:pPr>
    </w:p>
    <w:p w14:paraId="3DFDDF1B" w14:textId="77777777" w:rsidR="00677D12" w:rsidRPr="004C6A5D" w:rsidRDefault="00677D12">
      <w:pPr>
        <w:pStyle w:val="Plattetekst"/>
        <w:spacing w:before="98"/>
        <w:rPr>
          <w:b/>
          <w:sz w:val="22"/>
          <w:szCs w:val="22"/>
        </w:rPr>
      </w:pPr>
    </w:p>
    <w:tbl>
      <w:tblPr>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44"/>
      </w:tblGrid>
      <w:tr w:rsidR="00677D12" w:rsidRPr="004C6A5D" w14:paraId="2D8132AB" w14:textId="77777777">
        <w:trPr>
          <w:trHeight w:val="1465"/>
        </w:trPr>
        <w:tc>
          <w:tcPr>
            <w:tcW w:w="8344" w:type="dxa"/>
          </w:tcPr>
          <w:p w14:paraId="40DAA1B0" w14:textId="4E7E194D" w:rsidR="004B4475" w:rsidRDefault="00A9138D" w:rsidP="004B4475">
            <w:pPr>
              <w:pStyle w:val="TableParagraph"/>
              <w:ind w:left="110" w:right="94"/>
              <w:jc w:val="both"/>
              <w:rPr>
                <w:b/>
              </w:rPr>
            </w:pPr>
            <w:r w:rsidRPr="004C6A5D">
              <w:rPr>
                <w:b/>
              </w:rPr>
              <w:t xml:space="preserve">Uw </w:t>
            </w:r>
            <w:r w:rsidR="00AB1631">
              <w:rPr>
                <w:b/>
              </w:rPr>
              <w:t>toezichthoude</w:t>
            </w:r>
            <w:r w:rsidR="00302961">
              <w:rPr>
                <w:b/>
              </w:rPr>
              <w:t>nde autoriteit</w:t>
            </w:r>
            <w:r w:rsidR="00AB1631" w:rsidRPr="004C6A5D">
              <w:rPr>
                <w:b/>
              </w:rPr>
              <w:t xml:space="preserve"> </w:t>
            </w:r>
            <w:r w:rsidRPr="004C6A5D">
              <w:rPr>
                <w:b/>
              </w:rPr>
              <w:t>zal uw identiteit verifiëren.</w:t>
            </w:r>
            <w:r w:rsidR="007E5614" w:rsidRPr="004C6A5D">
              <w:rPr>
                <w:rStyle w:val="Voetnootmarkering"/>
                <w:b/>
              </w:rPr>
              <w:footnoteReference w:id="16"/>
            </w:r>
            <w:r w:rsidRPr="004C6A5D">
              <w:rPr>
                <w:b/>
              </w:rPr>
              <w:t xml:space="preserve"> U kunt gevraagd worden bewijs van uw identiteit te leveren</w:t>
            </w:r>
            <w:r w:rsidR="004B4475">
              <w:rPr>
                <w:b/>
              </w:rPr>
              <w:t xml:space="preserve">. </w:t>
            </w:r>
          </w:p>
          <w:p w14:paraId="569D7092" w14:textId="77777777" w:rsidR="004B4475" w:rsidRDefault="004B4475" w:rsidP="004B4475">
            <w:pPr>
              <w:pStyle w:val="TableParagraph"/>
              <w:ind w:left="110" w:right="94"/>
              <w:jc w:val="both"/>
              <w:rPr>
                <w:b/>
              </w:rPr>
            </w:pPr>
          </w:p>
          <w:p w14:paraId="69CE618C" w14:textId="0B25B698" w:rsidR="00677D12" w:rsidRPr="004C6A5D" w:rsidRDefault="00A9138D" w:rsidP="004B4475">
            <w:pPr>
              <w:pStyle w:val="TableParagraph"/>
              <w:ind w:left="110" w:right="94"/>
              <w:jc w:val="both"/>
            </w:pPr>
            <w:r w:rsidRPr="004C6A5D">
              <w:t>U kunt gevraagd worden een kopie van een van de volgende identiteitsbewijzen als bijlage toe te voegen:</w:t>
            </w:r>
          </w:p>
        </w:tc>
      </w:tr>
      <w:tr w:rsidR="00677D12" w:rsidRPr="004C6A5D" w14:paraId="16CF9950" w14:textId="77777777">
        <w:trPr>
          <w:trHeight w:val="340"/>
        </w:trPr>
        <w:tc>
          <w:tcPr>
            <w:tcW w:w="8344" w:type="dxa"/>
          </w:tcPr>
          <w:p w14:paraId="508198CC" w14:textId="1F3171C8" w:rsidR="00677D12" w:rsidRPr="004C6A5D" w:rsidRDefault="00A9138D">
            <w:pPr>
              <w:pStyle w:val="TableParagraph"/>
              <w:spacing w:before="2"/>
            </w:pPr>
            <w:r w:rsidRPr="004C6A5D">
              <w:t>a.</w:t>
            </w:r>
            <w:r w:rsidRPr="004C6A5D">
              <w:tab/>
              <w:t>Paspoort</w:t>
            </w:r>
            <w:r w:rsidR="0099058F" w:rsidRPr="004C6A5D">
              <w:t>:</w:t>
            </w:r>
          </w:p>
        </w:tc>
      </w:tr>
      <w:tr w:rsidR="00677D12" w:rsidRPr="004C6A5D" w14:paraId="7124F131" w14:textId="77777777">
        <w:trPr>
          <w:trHeight w:val="335"/>
        </w:trPr>
        <w:tc>
          <w:tcPr>
            <w:tcW w:w="8344" w:type="dxa"/>
          </w:tcPr>
          <w:p w14:paraId="35394550" w14:textId="77777777" w:rsidR="00677D12" w:rsidRPr="004C6A5D" w:rsidRDefault="00A9138D">
            <w:pPr>
              <w:pStyle w:val="TableParagraph"/>
            </w:pPr>
            <w:r w:rsidRPr="004C6A5D">
              <w:lastRenderedPageBreak/>
              <w:t>b.</w:t>
            </w:r>
            <w:r w:rsidRPr="004C6A5D">
              <w:tab/>
              <w:t>Rijbewijs:</w:t>
            </w:r>
          </w:p>
        </w:tc>
      </w:tr>
      <w:tr w:rsidR="00677D12" w:rsidRPr="004C6A5D" w14:paraId="5D7876D6" w14:textId="77777777">
        <w:trPr>
          <w:trHeight w:val="340"/>
        </w:trPr>
        <w:tc>
          <w:tcPr>
            <w:tcW w:w="8344" w:type="dxa"/>
          </w:tcPr>
          <w:p w14:paraId="3145CA8E" w14:textId="1F7B1AF2" w:rsidR="00677D12" w:rsidRPr="004C6A5D" w:rsidRDefault="00A9138D">
            <w:pPr>
              <w:pStyle w:val="TableParagraph"/>
            </w:pPr>
            <w:r w:rsidRPr="004C6A5D">
              <w:t>c.</w:t>
            </w:r>
            <w:r w:rsidRPr="004C6A5D">
              <w:tab/>
              <w:t>Identiteitskaart</w:t>
            </w:r>
            <w:r w:rsidR="0099058F" w:rsidRPr="004C6A5D">
              <w:t>:</w:t>
            </w:r>
          </w:p>
        </w:tc>
      </w:tr>
      <w:tr w:rsidR="00677D12" w:rsidRPr="004C6A5D" w14:paraId="6F2DFF90" w14:textId="77777777">
        <w:trPr>
          <w:trHeight w:val="2340"/>
        </w:trPr>
        <w:tc>
          <w:tcPr>
            <w:tcW w:w="8344" w:type="dxa"/>
          </w:tcPr>
          <w:p w14:paraId="7173D3FE" w14:textId="77777777" w:rsidR="00677D12" w:rsidRPr="004C6A5D" w:rsidRDefault="00A9138D">
            <w:pPr>
              <w:pStyle w:val="TableParagraph"/>
              <w:spacing w:before="0"/>
              <w:ind w:left="110" w:right="103"/>
              <w:jc w:val="both"/>
              <w:rPr>
                <w:i/>
              </w:rPr>
            </w:pPr>
            <w:r w:rsidRPr="004C6A5D">
              <w:rPr>
                <w:i/>
              </w:rPr>
              <w:t>In dat geval staat het u vrij om alle informatie op de kopie van uw identiteitsbewijs die niet nodig is voor de verificatie van de hierboven onder a.-h. verstrekte gegevens, zwart te maken.</w:t>
            </w:r>
          </w:p>
          <w:p w14:paraId="14F752BE" w14:textId="3BE240C1" w:rsidR="00677D12" w:rsidRPr="004C6A5D" w:rsidRDefault="00A9138D" w:rsidP="004B4475">
            <w:pPr>
              <w:pStyle w:val="TableParagraph"/>
              <w:spacing w:before="0"/>
              <w:ind w:left="110" w:right="95"/>
              <w:jc w:val="both"/>
              <w:rPr>
                <w:b/>
              </w:rPr>
            </w:pPr>
            <w:r w:rsidRPr="004C6A5D">
              <w:t xml:space="preserve">Als </w:t>
            </w:r>
            <w:r w:rsidRPr="004C6A5D">
              <w:rPr>
                <w:b/>
                <w:bCs/>
              </w:rPr>
              <w:t>alternatief</w:t>
            </w:r>
            <w:r w:rsidRPr="004C6A5D">
              <w:t xml:space="preserve"> kunt u, indien uw gegevensbeschermingsautoriteit daarin voorziet, gebruikmaken van een elektronisch identificatiesysteem of een ander middel zoals bepaald in het nationale recht van de lidstaat waar u uw klacht hebt ingediend. De wijze waarop uw identiteit wordt geverifieerd mag uw gegevensbeschermingsautoriteit zelf bepalen</w:t>
            </w:r>
            <w:r w:rsidR="004B4475">
              <w:t>.</w:t>
            </w:r>
          </w:p>
        </w:tc>
      </w:tr>
    </w:tbl>
    <w:p w14:paraId="52B22E86" w14:textId="77777777" w:rsidR="00677D12" w:rsidRPr="004C6A5D" w:rsidRDefault="00677D12">
      <w:pPr>
        <w:pStyle w:val="Plattetekst"/>
        <w:spacing w:before="5"/>
        <w:rPr>
          <w:b/>
          <w:sz w:val="22"/>
          <w:szCs w:val="22"/>
        </w:rPr>
      </w:pPr>
    </w:p>
    <w:p w14:paraId="18AFA439" w14:textId="77777777" w:rsidR="00677D12" w:rsidRPr="004C6A5D" w:rsidRDefault="00A9138D">
      <w:pPr>
        <w:pStyle w:val="Lijstalinea"/>
        <w:numPr>
          <w:ilvl w:val="0"/>
          <w:numId w:val="2"/>
        </w:numPr>
        <w:tabs>
          <w:tab w:val="left" w:pos="899"/>
        </w:tabs>
        <w:ind w:left="899" w:hanging="359"/>
        <w:rPr>
          <w:b/>
        </w:rPr>
      </w:pPr>
      <w:r w:rsidRPr="004C6A5D">
        <w:rPr>
          <w:b/>
        </w:rPr>
        <w:t>Uw klacht</w:t>
      </w:r>
    </w:p>
    <w:p w14:paraId="253BD482" w14:textId="77777777" w:rsidR="00677D12" w:rsidRPr="004C6A5D" w:rsidRDefault="00677D12">
      <w:pPr>
        <w:pStyle w:val="Plattetekst"/>
        <w:spacing w:before="39"/>
        <w:rPr>
          <w:b/>
          <w:sz w:val="22"/>
          <w:szCs w:val="22"/>
        </w:rPr>
      </w:pPr>
    </w:p>
    <w:p w14:paraId="035442BE" w14:textId="77777777" w:rsidR="00677D12" w:rsidRPr="004C6A5D" w:rsidRDefault="00A9138D">
      <w:pPr>
        <w:pStyle w:val="Plattetekst"/>
        <w:spacing w:line="242" w:lineRule="auto"/>
        <w:ind w:left="115"/>
        <w:rPr>
          <w:sz w:val="22"/>
          <w:szCs w:val="22"/>
        </w:rPr>
      </w:pPr>
      <w:r w:rsidRPr="004C6A5D">
        <w:rPr>
          <w:sz w:val="22"/>
          <w:szCs w:val="22"/>
        </w:rPr>
        <w:t>Hieronder vindt u een lijst met informatie die u in uw klacht moet verstrekken om aan te tonen dat de klacht in aanmerking komt voor beoordeling door de CLPO.</w:t>
      </w:r>
    </w:p>
    <w:p w14:paraId="35D0000F" w14:textId="59600911" w:rsidR="00677D12" w:rsidRPr="004C6A5D" w:rsidRDefault="00D30AD3">
      <w:pPr>
        <w:pStyle w:val="Plattetekst"/>
        <w:spacing w:before="32" w:line="242" w:lineRule="auto"/>
        <w:ind w:left="115" w:right="126"/>
        <w:rPr>
          <w:sz w:val="22"/>
          <w:szCs w:val="22"/>
        </w:rPr>
      </w:pPr>
      <w:r>
        <w:rPr>
          <w:sz w:val="22"/>
          <w:szCs w:val="22"/>
        </w:rPr>
        <w:t>D</w:t>
      </w:r>
      <w:r w:rsidR="00A9138D" w:rsidRPr="004C6A5D">
        <w:rPr>
          <w:sz w:val="22"/>
          <w:szCs w:val="22"/>
        </w:rPr>
        <w:t>e onderstaande vragen</w:t>
      </w:r>
      <w:r>
        <w:rPr>
          <w:sz w:val="22"/>
          <w:szCs w:val="22"/>
        </w:rPr>
        <w:t xml:space="preserve"> komen</w:t>
      </w:r>
      <w:r w:rsidR="00A9138D" w:rsidRPr="004C6A5D">
        <w:rPr>
          <w:sz w:val="22"/>
          <w:szCs w:val="22"/>
        </w:rPr>
        <w:t xml:space="preserve"> overeen</w:t>
      </w:r>
      <w:r>
        <w:rPr>
          <w:sz w:val="22"/>
          <w:szCs w:val="22"/>
        </w:rPr>
        <w:t xml:space="preserve"> </w:t>
      </w:r>
      <w:r w:rsidR="00A9138D" w:rsidRPr="004C6A5D">
        <w:rPr>
          <w:sz w:val="22"/>
          <w:szCs w:val="22"/>
        </w:rPr>
        <w:t>met de specifieke voorwaarden van Sectie 4(k)(i)-(iv) van E.O. 14086.</w:t>
      </w:r>
      <w:r w:rsidR="00546D3D" w:rsidRPr="004C6A5D">
        <w:rPr>
          <w:rStyle w:val="Voetnootmarkering"/>
          <w:sz w:val="22"/>
          <w:szCs w:val="22"/>
        </w:rPr>
        <w:footnoteReference w:id="17"/>
      </w:r>
      <w:r w:rsidR="00A9138D" w:rsidRPr="004C6A5D">
        <w:rPr>
          <w:sz w:val="22"/>
          <w:szCs w:val="22"/>
        </w:rPr>
        <w:t xml:space="preserve"> Vink de betreffende vakjes aan.</w:t>
      </w:r>
    </w:p>
    <w:p w14:paraId="079F0B21" w14:textId="329F82BB" w:rsidR="00677D12" w:rsidRPr="004C6A5D" w:rsidRDefault="00A9138D">
      <w:pPr>
        <w:pStyle w:val="Lijstalinea"/>
        <w:numPr>
          <w:ilvl w:val="0"/>
          <w:numId w:val="1"/>
        </w:numPr>
        <w:tabs>
          <w:tab w:val="left" w:pos="373"/>
        </w:tabs>
        <w:spacing w:before="196" w:line="237" w:lineRule="auto"/>
        <w:ind w:right="126" w:firstLine="0"/>
      </w:pPr>
      <w:r w:rsidRPr="004C6A5D">
        <w:t>Geef een algemene beschrijving van uw klacht over onrechtmatige toegang door Amerikaanse inlichtingendiensten tot persoonsgegevens die vanuit de EU naar de V</w:t>
      </w:r>
      <w:r w:rsidR="00AB1631">
        <w:t xml:space="preserve">erenigde </w:t>
      </w:r>
      <w:r w:rsidRPr="004C6A5D">
        <w:t>S</w:t>
      </w:r>
      <w:r w:rsidR="00AB1631">
        <w:t>taten</w:t>
      </w:r>
      <w:r w:rsidRPr="004C6A5D">
        <w:t xml:space="preserve"> zijn doorgegeven.</w:t>
      </w:r>
    </w:p>
    <w:p w14:paraId="7B7AB5FE" w14:textId="77777777" w:rsidR="00677D12" w:rsidRPr="004C6A5D" w:rsidRDefault="00A9138D">
      <w:pPr>
        <w:pStyle w:val="Kop1"/>
        <w:rPr>
          <w:sz w:val="22"/>
          <w:szCs w:val="22"/>
        </w:rPr>
      </w:pPr>
      <w:r w:rsidRPr="004C6A5D">
        <w:rPr>
          <w:sz w:val="22"/>
          <w:szCs w:val="22"/>
        </w:rPr>
        <w:t>NB: u hoeft niet aan te tonen dat uw gegevens daadwerkelijk zijn verzameld door de</w:t>
      </w:r>
    </w:p>
    <w:p w14:paraId="2DA4DCA4" w14:textId="77777777" w:rsidR="00677D12" w:rsidRPr="004C6A5D" w:rsidRDefault="00A9138D">
      <w:pPr>
        <w:spacing w:before="2"/>
        <w:ind w:left="115"/>
        <w:rPr>
          <w:b/>
        </w:rPr>
      </w:pPr>
      <w:r w:rsidRPr="004C6A5D">
        <w:rPr>
          <w:b/>
        </w:rPr>
        <w:t>Amerikaanse inlichtingendiensten.</w:t>
      </w:r>
    </w:p>
    <w:p w14:paraId="28B153B9" w14:textId="77777777" w:rsidR="00677D12" w:rsidRPr="004C6A5D" w:rsidRDefault="00A9138D">
      <w:pPr>
        <w:pStyle w:val="Lijstalinea"/>
        <w:numPr>
          <w:ilvl w:val="0"/>
          <w:numId w:val="1"/>
        </w:numPr>
        <w:tabs>
          <w:tab w:val="left" w:pos="352"/>
        </w:tabs>
        <w:spacing w:before="197"/>
        <w:ind w:left="352" w:hanging="237"/>
      </w:pPr>
      <w:r w:rsidRPr="004C6A5D">
        <w:t>Geef aanvullende informatie over uw klacht.</w:t>
      </w:r>
    </w:p>
    <w:p w14:paraId="35E5B95F" w14:textId="77777777" w:rsidR="00677D12" w:rsidRPr="004C6A5D" w:rsidRDefault="00A9138D">
      <w:pPr>
        <w:pStyle w:val="Lijstalinea"/>
        <w:numPr>
          <w:ilvl w:val="1"/>
          <w:numId w:val="1"/>
        </w:numPr>
        <w:tabs>
          <w:tab w:val="left" w:pos="1546"/>
        </w:tabs>
        <w:spacing w:before="3" w:line="276" w:lineRule="auto"/>
        <w:ind w:right="465"/>
        <w:jc w:val="left"/>
      </w:pPr>
      <w:r w:rsidRPr="004C6A5D">
        <w:t>Geef informatie of details over een online account of het doorgeven van persoonsgegevens waarvan u vermoedt dat deze zijn geraadpleegd, inclusief de relevante e-mailadressen of gebruikersnamen van online accounts en alle andere relevante informatie zoals vlucht-, hotel- of contactgegevens.</w:t>
      </w:r>
    </w:p>
    <w:p w14:paraId="49055132" w14:textId="39492B0D" w:rsidR="00677D12" w:rsidRPr="004C6A5D" w:rsidRDefault="00A9138D">
      <w:pPr>
        <w:ind w:left="1531" w:right="114"/>
        <w:jc w:val="both"/>
      </w:pPr>
      <w:r w:rsidRPr="004C6A5D">
        <w:rPr>
          <w:b/>
        </w:rPr>
        <w:t xml:space="preserve">Uw </w:t>
      </w:r>
      <w:r w:rsidR="004C2C49">
        <w:rPr>
          <w:b/>
        </w:rPr>
        <w:t>toezichthoude</w:t>
      </w:r>
      <w:r w:rsidR="00302961">
        <w:rPr>
          <w:b/>
        </w:rPr>
        <w:t>nde autoriteit</w:t>
      </w:r>
      <w:r w:rsidR="004C2C49" w:rsidRPr="004C6A5D">
        <w:rPr>
          <w:b/>
        </w:rPr>
        <w:t xml:space="preserve"> </w:t>
      </w:r>
      <w:r w:rsidRPr="004C6A5D">
        <w:rPr>
          <w:b/>
        </w:rPr>
        <w:t xml:space="preserve">controleert of de verstrekte gegevens (d.w.z. e-mailadres of gebruikersnamen) daadwerkelijk van u zijn. Lever bewijsmateriaal dat dit daadwerkelijk uw gegevens zijn. </w:t>
      </w:r>
      <w:r w:rsidRPr="004C6A5D">
        <w:t>Dit kunt u bijvoorbeeld doen door een bevestiging te overleggen van de provider van de dienst die u gebruikt, of een screenshot te maken waaruit duidelijk blijkt dat u degene bent die het account gebruikt.</w:t>
      </w:r>
    </w:p>
    <w:p w14:paraId="6C08C347" w14:textId="47057048" w:rsidR="00677D12" w:rsidRPr="004C6A5D" w:rsidRDefault="00A9138D">
      <w:pPr>
        <w:pStyle w:val="Lijstalinea"/>
        <w:numPr>
          <w:ilvl w:val="1"/>
          <w:numId w:val="1"/>
        </w:numPr>
        <w:tabs>
          <w:tab w:val="left" w:pos="1546"/>
        </w:tabs>
        <w:spacing w:before="203" w:line="276" w:lineRule="auto"/>
        <w:ind w:right="234" w:hanging="535"/>
        <w:jc w:val="left"/>
      </w:pPr>
      <w:r w:rsidRPr="004C6A5D">
        <w:t>Weet u welk bedrijf persoonsgegevens van of over u naar de V</w:t>
      </w:r>
      <w:r w:rsidR="00AB1631">
        <w:t xml:space="preserve">erenigde </w:t>
      </w:r>
      <w:r w:rsidRPr="004C6A5D">
        <w:t>S</w:t>
      </w:r>
      <w:r w:rsidR="00AB1631">
        <w:t>taten</w:t>
      </w:r>
      <w:r w:rsidRPr="004C6A5D">
        <w:t xml:space="preserve"> heeft verzonden of anderszins beschikbaar heeft gesteld? Zo ja, geef dan </w:t>
      </w:r>
      <w:r w:rsidR="000774DB">
        <w:t xml:space="preserve">een </w:t>
      </w:r>
      <w:r w:rsidRPr="004C6A5D">
        <w:t xml:space="preserve">nadere </w:t>
      </w:r>
      <w:r w:rsidR="000774DB">
        <w:t>toelichting</w:t>
      </w:r>
      <w:r w:rsidRPr="004C6A5D">
        <w:t>. Als u niet zeker weet welk bedrijf uw gegevens heeft verzonden of anderszins beschikbaar heeft gesteld, geef dan alle relevante informatie die u heeft.</w:t>
      </w:r>
    </w:p>
    <w:p w14:paraId="27386C03" w14:textId="73346AE5" w:rsidR="00677D12" w:rsidRPr="004C6A5D" w:rsidRDefault="00A9138D">
      <w:pPr>
        <w:pStyle w:val="Lijstalinea"/>
        <w:numPr>
          <w:ilvl w:val="1"/>
          <w:numId w:val="1"/>
        </w:numPr>
        <w:tabs>
          <w:tab w:val="left" w:pos="1546"/>
        </w:tabs>
        <w:spacing w:before="293" w:line="276" w:lineRule="auto"/>
        <w:ind w:right="273" w:hanging="590"/>
        <w:jc w:val="left"/>
      </w:pPr>
      <w:r w:rsidRPr="004C6A5D">
        <w:t>Weet u welk bedrijf persoonsgegevens van of over u heeft verwerkt in de V</w:t>
      </w:r>
      <w:r w:rsidR="00AB1631">
        <w:t xml:space="preserve">erenigde </w:t>
      </w:r>
      <w:r w:rsidRPr="004C6A5D">
        <w:t>S</w:t>
      </w:r>
      <w:r w:rsidR="00AB1631">
        <w:t>taten</w:t>
      </w:r>
      <w:r w:rsidRPr="004C6A5D">
        <w:t xml:space="preserve">? Zo ja, geef dan </w:t>
      </w:r>
      <w:r w:rsidR="000774DB">
        <w:t>een</w:t>
      </w:r>
      <w:r w:rsidRPr="004C6A5D">
        <w:t xml:space="preserve"> nadere </w:t>
      </w:r>
      <w:r w:rsidR="000774DB">
        <w:t>toelichting</w:t>
      </w:r>
      <w:r w:rsidRPr="004C6A5D">
        <w:t>.</w:t>
      </w:r>
    </w:p>
    <w:p w14:paraId="3A947440" w14:textId="1568C06D" w:rsidR="00677D12" w:rsidRPr="004C6A5D" w:rsidRDefault="00A9138D">
      <w:pPr>
        <w:pStyle w:val="Lijstalinea"/>
        <w:numPr>
          <w:ilvl w:val="1"/>
          <w:numId w:val="1"/>
        </w:numPr>
        <w:tabs>
          <w:tab w:val="left" w:pos="1546"/>
        </w:tabs>
        <w:spacing w:before="291" w:line="278" w:lineRule="auto"/>
        <w:ind w:right="384" w:hanging="585"/>
        <w:jc w:val="left"/>
      </w:pPr>
      <w:r w:rsidRPr="004C6A5D">
        <w:lastRenderedPageBreak/>
        <w:t>Kent u de specifieke middelen</w:t>
      </w:r>
      <w:r w:rsidR="00A76FE9" w:rsidRPr="004C6A5D">
        <w:rPr>
          <w:rStyle w:val="Voetnootmarkering"/>
        </w:rPr>
        <w:footnoteReference w:id="18"/>
      </w:r>
      <w:r w:rsidRPr="004C6A5D">
        <w:t xml:space="preserve"> waarmee persoonsgegevens van </w:t>
      </w:r>
      <w:r w:rsidR="00D86747">
        <w:t xml:space="preserve">u </w:t>
      </w:r>
      <w:r w:rsidRPr="004C6A5D">
        <w:t xml:space="preserve">of over u </w:t>
      </w:r>
      <w:r w:rsidR="00AB1631">
        <w:t>zouden</w:t>
      </w:r>
      <w:r w:rsidRPr="004C6A5D">
        <w:t xml:space="preserve"> zijn doorgegeven of anderszins beschikbaar  zijn gesteld aan de V</w:t>
      </w:r>
      <w:r w:rsidR="00AB1631">
        <w:t xml:space="preserve">erenigde </w:t>
      </w:r>
      <w:r w:rsidRPr="004C6A5D">
        <w:t>S</w:t>
      </w:r>
      <w:r w:rsidR="00AB1631">
        <w:t>taten</w:t>
      </w:r>
      <w:r w:rsidRPr="004C6A5D">
        <w:t>?</w:t>
      </w:r>
      <w:r w:rsidR="00302961">
        <w:t xml:space="preserve"> Zo ja, geef dan een toelichting.</w:t>
      </w:r>
    </w:p>
    <w:p w14:paraId="6C3C87D3" w14:textId="77777777" w:rsidR="00677D12" w:rsidRPr="004C6A5D" w:rsidRDefault="00A9138D">
      <w:pPr>
        <w:pStyle w:val="Lijstalinea"/>
        <w:numPr>
          <w:ilvl w:val="1"/>
          <w:numId w:val="1"/>
        </w:numPr>
        <w:tabs>
          <w:tab w:val="left" w:pos="1546"/>
        </w:tabs>
        <w:spacing w:before="286" w:line="278" w:lineRule="auto"/>
        <w:ind w:right="716" w:hanging="530"/>
        <w:jc w:val="left"/>
      </w:pPr>
      <w:r w:rsidRPr="004C6A5D">
        <w:t xml:space="preserve">Bevestigt u dat u gebruik hebt gemaakt van de dienst waarvan u denkt dat deze persoonsgegevens van of over u heeft doorgegeven </w:t>
      </w:r>
      <w:r w:rsidRPr="004C6A5D">
        <w:rPr>
          <w:b/>
          <w:bCs/>
        </w:rPr>
        <w:t>na 10 juli 2023</w:t>
      </w:r>
      <w:r w:rsidRPr="004C6A5D">
        <w:t>?</w:t>
      </w:r>
    </w:p>
    <w:p w14:paraId="69339BEA" w14:textId="77777777" w:rsidR="00677D12" w:rsidRPr="004C6A5D" w:rsidRDefault="00A9138D">
      <w:pPr>
        <w:pStyle w:val="Plattetekst"/>
        <w:spacing w:line="319" w:lineRule="exact"/>
        <w:ind w:left="1546"/>
        <w:jc w:val="both"/>
        <w:rPr>
          <w:rFonts w:ascii="Segoe UI Symbol" w:hAnsi="Segoe UI Symbol"/>
          <w:sz w:val="22"/>
          <w:szCs w:val="22"/>
        </w:rPr>
      </w:pPr>
      <w:r w:rsidRPr="004C6A5D">
        <w:rPr>
          <w:sz w:val="22"/>
          <w:szCs w:val="22"/>
        </w:rPr>
        <w:t xml:space="preserve">Ja </w:t>
      </w:r>
      <w:r w:rsidRPr="004C6A5D">
        <w:rPr>
          <w:rFonts w:ascii="Segoe UI Symbol" w:hAnsi="Segoe UI Symbol"/>
          <w:sz w:val="22"/>
          <w:szCs w:val="22"/>
        </w:rPr>
        <w:t>☐</w:t>
      </w:r>
    </w:p>
    <w:p w14:paraId="7BF1605B" w14:textId="77777777" w:rsidR="00677D12" w:rsidRPr="004C6A5D" w:rsidRDefault="00A9138D">
      <w:pPr>
        <w:pStyle w:val="Lijstalinea"/>
        <w:numPr>
          <w:ilvl w:val="1"/>
          <w:numId w:val="1"/>
        </w:numPr>
        <w:tabs>
          <w:tab w:val="left" w:pos="1546"/>
        </w:tabs>
        <w:spacing w:before="297" w:line="273" w:lineRule="auto"/>
        <w:ind w:right="528" w:hanging="585"/>
        <w:jc w:val="left"/>
      </w:pPr>
      <w:r w:rsidRPr="004C6A5D">
        <w:t>Bent u van mening dat een of meer Amerikaanse wetten zijn geschonden als persoonsgegevens van of over u zijn geraadpleegd?</w:t>
      </w:r>
    </w:p>
    <w:p w14:paraId="760A8907" w14:textId="77777777" w:rsidR="00677D12" w:rsidRPr="004C6A5D" w:rsidRDefault="00A9138D">
      <w:pPr>
        <w:pStyle w:val="Plattetekst"/>
        <w:spacing w:before="2"/>
        <w:ind w:left="1546"/>
        <w:jc w:val="both"/>
        <w:rPr>
          <w:rFonts w:ascii="Segoe UI Symbol" w:hAnsi="Segoe UI Symbol"/>
          <w:sz w:val="22"/>
          <w:szCs w:val="22"/>
        </w:rPr>
      </w:pPr>
      <w:r w:rsidRPr="004C6A5D">
        <w:rPr>
          <w:sz w:val="22"/>
          <w:szCs w:val="22"/>
        </w:rPr>
        <w:t xml:space="preserve">Ja </w:t>
      </w:r>
      <w:r w:rsidRPr="004C6A5D">
        <w:rPr>
          <w:rFonts w:ascii="Segoe UI Symbol" w:hAnsi="Segoe UI Symbol"/>
          <w:sz w:val="22"/>
          <w:szCs w:val="22"/>
        </w:rPr>
        <w:t>☐</w:t>
      </w:r>
    </w:p>
    <w:p w14:paraId="114CA0D9" w14:textId="77777777" w:rsidR="00EB1AA1" w:rsidRPr="004C6A5D" w:rsidRDefault="00A9138D" w:rsidP="00EB1AA1">
      <w:pPr>
        <w:pStyle w:val="Lijstalinea"/>
        <w:numPr>
          <w:ilvl w:val="0"/>
          <w:numId w:val="1"/>
        </w:numPr>
        <w:tabs>
          <w:tab w:val="left" w:pos="1560"/>
        </w:tabs>
        <w:spacing w:before="292"/>
        <w:ind w:left="993" w:right="2083" w:hanging="721"/>
        <w:rPr>
          <w:rFonts w:ascii="Segoe UI Symbol" w:hAnsi="Segoe UI Symbol"/>
        </w:rPr>
      </w:pPr>
      <w:r w:rsidRPr="004C6A5D">
        <w:t xml:space="preserve">Handelt u bij het indienen van deze klacht op persoonlijke titel? </w:t>
      </w:r>
    </w:p>
    <w:p w14:paraId="0D37C90F" w14:textId="6D7A8BA8" w:rsidR="00677D12" w:rsidRPr="004C6A5D" w:rsidRDefault="00A9138D" w:rsidP="00EB1AA1">
      <w:pPr>
        <w:pStyle w:val="Lijstalinea"/>
        <w:tabs>
          <w:tab w:val="left" w:pos="1560"/>
        </w:tabs>
        <w:spacing w:before="292"/>
        <w:ind w:left="1560" w:right="2083"/>
        <w:rPr>
          <w:rFonts w:ascii="Segoe UI Symbol" w:hAnsi="Segoe UI Symbol"/>
        </w:rPr>
      </w:pPr>
      <w:r w:rsidRPr="004C6A5D">
        <w:t xml:space="preserve">Ja </w:t>
      </w:r>
      <w:r w:rsidRPr="004C6A5D">
        <w:rPr>
          <w:rFonts w:ascii="Segoe UI Symbol" w:hAnsi="Segoe UI Symbol"/>
        </w:rPr>
        <w:t>☐</w:t>
      </w:r>
    </w:p>
    <w:p w14:paraId="62151E07" w14:textId="6D2F293B" w:rsidR="00677D12" w:rsidRDefault="00677D12"/>
    <w:p w14:paraId="5F2DED0D" w14:textId="5DCE9DD9" w:rsidR="00677D12" w:rsidRPr="004C6A5D" w:rsidRDefault="00A9138D">
      <w:pPr>
        <w:pStyle w:val="Lijstalinea"/>
        <w:numPr>
          <w:ilvl w:val="0"/>
          <w:numId w:val="1"/>
        </w:numPr>
        <w:tabs>
          <w:tab w:val="left" w:pos="357"/>
        </w:tabs>
        <w:spacing w:before="34" w:line="237" w:lineRule="auto"/>
        <w:ind w:right="121" w:firstLine="0"/>
        <w:jc w:val="both"/>
      </w:pPr>
      <w:r w:rsidRPr="004C6A5D">
        <w:t xml:space="preserve">Als u op de hoogte bent van deze informatie, </w:t>
      </w:r>
      <w:r w:rsidR="00EC364D">
        <w:t xml:space="preserve">kunt u dan aangeven </w:t>
      </w:r>
      <w:r w:rsidRPr="004C6A5D">
        <w:t xml:space="preserve">welk </w:t>
      </w:r>
      <w:r w:rsidR="00AB1631">
        <w:t>onderdeel</w:t>
      </w:r>
      <w:r w:rsidRPr="004C6A5D">
        <w:t xml:space="preserve"> of </w:t>
      </w:r>
      <w:r w:rsidR="000774DB">
        <w:t xml:space="preserve">welke </w:t>
      </w:r>
      <w:r w:rsidR="00AB1631">
        <w:t>onderdelen</w:t>
      </w:r>
      <w:r w:rsidRPr="004C6A5D">
        <w:t xml:space="preserve"> van de Amerikaanse overheid betrokken </w:t>
      </w:r>
      <w:r w:rsidR="00AB1631">
        <w:t>zouden</w:t>
      </w:r>
      <w:r w:rsidRPr="004C6A5D">
        <w:t xml:space="preserve"> zijn bij het raadplegen van uw persoonsgegevens?</w:t>
      </w:r>
    </w:p>
    <w:p w14:paraId="7FEBE4E2" w14:textId="77777777" w:rsidR="00677D12" w:rsidRPr="004C6A5D" w:rsidRDefault="00677D12">
      <w:pPr>
        <w:pStyle w:val="Plattetekst"/>
        <w:rPr>
          <w:sz w:val="22"/>
          <w:szCs w:val="22"/>
        </w:rPr>
      </w:pPr>
    </w:p>
    <w:p w14:paraId="17B8B827" w14:textId="490438EB" w:rsidR="00677D12" w:rsidRPr="004C6A5D" w:rsidRDefault="00A9138D">
      <w:pPr>
        <w:pStyle w:val="Lijstalinea"/>
        <w:numPr>
          <w:ilvl w:val="0"/>
          <w:numId w:val="1"/>
        </w:numPr>
        <w:tabs>
          <w:tab w:val="left" w:pos="348"/>
        </w:tabs>
        <w:ind w:left="348" w:hanging="233"/>
        <w:jc w:val="both"/>
      </w:pPr>
      <w:r w:rsidRPr="004C6A5D">
        <w:t xml:space="preserve">Welke informatie </w:t>
      </w:r>
      <w:r w:rsidR="00302961">
        <w:t xml:space="preserve">zou u willen hebben </w:t>
      </w:r>
      <w:r w:rsidRPr="004C6A5D">
        <w:t>of welk</w:t>
      </w:r>
      <w:r w:rsidR="00EC364D">
        <w:t>e</w:t>
      </w:r>
      <w:r w:rsidRPr="004C6A5D">
        <w:t xml:space="preserve"> </w:t>
      </w:r>
      <w:r w:rsidR="00302961">
        <w:t xml:space="preserve">oplossing </w:t>
      </w:r>
      <w:r w:rsidRPr="004C6A5D">
        <w:t xml:space="preserve">zou u willen </w:t>
      </w:r>
      <w:r w:rsidR="00302961">
        <w:t>zien</w:t>
      </w:r>
      <w:r w:rsidRPr="004C6A5D">
        <w:t>?</w:t>
      </w:r>
      <w:r w:rsidR="00A76FE9" w:rsidRPr="004C6A5D">
        <w:rPr>
          <w:rStyle w:val="Voetnootmarkering"/>
        </w:rPr>
        <w:footnoteReference w:id="19"/>
      </w:r>
    </w:p>
    <w:p w14:paraId="247D61FF" w14:textId="77777777" w:rsidR="00677D12" w:rsidRPr="004C6A5D" w:rsidRDefault="00677D12">
      <w:pPr>
        <w:pStyle w:val="Plattetekst"/>
        <w:spacing w:before="4"/>
        <w:rPr>
          <w:sz w:val="22"/>
          <w:szCs w:val="22"/>
        </w:rPr>
      </w:pPr>
    </w:p>
    <w:p w14:paraId="79254575" w14:textId="1C42A0D5" w:rsidR="00677D12" w:rsidRPr="004C6A5D" w:rsidRDefault="00A9138D">
      <w:pPr>
        <w:pStyle w:val="Lijstalinea"/>
        <w:numPr>
          <w:ilvl w:val="0"/>
          <w:numId w:val="1"/>
        </w:numPr>
        <w:tabs>
          <w:tab w:val="left" w:pos="303"/>
        </w:tabs>
        <w:ind w:right="124" w:firstLine="0"/>
        <w:jc w:val="both"/>
      </w:pPr>
      <w:r w:rsidRPr="004C6A5D">
        <w:t xml:space="preserve">Welke andere maatregelen heeft u genomen om de gevraagde informatie of </w:t>
      </w:r>
      <w:r w:rsidR="00EC364D">
        <w:t>de</w:t>
      </w:r>
      <w:r w:rsidRPr="004C6A5D">
        <w:t xml:space="preserve"> gevraagde </w:t>
      </w:r>
      <w:r w:rsidR="00302961">
        <w:t>oplossing</w:t>
      </w:r>
      <w:r w:rsidRPr="004C6A5D">
        <w:t xml:space="preserve"> te verkrijgen en welk antwoord heeft u </w:t>
      </w:r>
      <w:r w:rsidR="004C2C49">
        <w:t>daarmee</w:t>
      </w:r>
      <w:r w:rsidRPr="004C6A5D">
        <w:t xml:space="preserve"> ontvangen (bijvoorbeeld: een verzoek in het kader van de Freedom of Information Act (“FOIA”) op grond van de Amerikaanse wet</w:t>
      </w:r>
      <w:r w:rsidR="00A76FE9" w:rsidRPr="004C6A5D">
        <w:rPr>
          <w:rStyle w:val="Voetnootmarkering"/>
        </w:rPr>
        <w:footnoteReference w:id="20"/>
      </w:r>
      <w:r w:rsidRPr="004C6A5D">
        <w:t>?</w:t>
      </w:r>
    </w:p>
    <w:p w14:paraId="25E680D5" w14:textId="72E343C2" w:rsidR="00677D12" w:rsidRPr="004C6A5D" w:rsidRDefault="00EC364D">
      <w:pPr>
        <w:pStyle w:val="Plattetekst"/>
        <w:spacing w:before="292" w:line="242" w:lineRule="auto"/>
        <w:ind w:left="115"/>
        <w:rPr>
          <w:sz w:val="22"/>
          <w:szCs w:val="22"/>
        </w:rPr>
      </w:pPr>
      <w:r>
        <w:rPr>
          <w:sz w:val="22"/>
          <w:szCs w:val="22"/>
        </w:rPr>
        <w:t xml:space="preserve">Zet </w:t>
      </w:r>
      <w:r w:rsidR="00A9138D" w:rsidRPr="004C6A5D">
        <w:rPr>
          <w:sz w:val="22"/>
          <w:szCs w:val="22"/>
        </w:rPr>
        <w:t>hieronder uw handtekening om te bevestigen dat alle verstrekte informatie correct en te goeder trouw is.</w:t>
      </w:r>
    </w:p>
    <w:p w14:paraId="16E93171" w14:textId="77777777" w:rsidR="00677D12" w:rsidRPr="004C6A5D" w:rsidRDefault="00A9138D">
      <w:pPr>
        <w:pStyle w:val="Plattetekst"/>
        <w:tabs>
          <w:tab w:val="left" w:pos="6738"/>
        </w:tabs>
        <w:spacing w:before="288"/>
        <w:ind w:left="1096"/>
        <w:rPr>
          <w:sz w:val="22"/>
          <w:szCs w:val="22"/>
        </w:rPr>
      </w:pPr>
      <w:r w:rsidRPr="004C6A5D">
        <w:rPr>
          <w:sz w:val="22"/>
          <w:szCs w:val="22"/>
        </w:rPr>
        <w:lastRenderedPageBreak/>
        <w:t>Handtekening:</w:t>
      </w:r>
      <w:r w:rsidRPr="004C6A5D">
        <w:rPr>
          <w:sz w:val="22"/>
          <w:szCs w:val="22"/>
        </w:rPr>
        <w:tab/>
        <w:t>Datum van de klacht:</w:t>
      </w:r>
    </w:p>
    <w:p w14:paraId="0B1A6929" w14:textId="77777777" w:rsidR="00677D12" w:rsidRPr="004C6A5D" w:rsidRDefault="00A9138D">
      <w:pPr>
        <w:pStyle w:val="Plattetekst"/>
        <w:spacing w:before="2"/>
        <w:rPr>
          <w:sz w:val="22"/>
          <w:szCs w:val="22"/>
        </w:rPr>
      </w:pPr>
      <w:r w:rsidRPr="004C6A5D">
        <w:rPr>
          <w:noProof/>
          <w:sz w:val="22"/>
          <w:szCs w:val="22"/>
          <w:lang w:eastAsia="nl-NL"/>
        </w:rPr>
        <mc:AlternateContent>
          <mc:Choice Requires="wpg">
            <w:drawing>
              <wp:anchor distT="0" distB="0" distL="0" distR="0" simplePos="0" relativeHeight="251660288" behindDoc="1" locked="0" layoutInCell="1" allowOverlap="1" wp14:anchorId="53B2BF04" wp14:editId="51C4B0E5">
                <wp:simplePos x="0" y="0"/>
                <wp:positionH relativeFrom="page">
                  <wp:posOffset>1003300</wp:posOffset>
                </wp:positionH>
                <wp:positionV relativeFrom="paragraph">
                  <wp:posOffset>140934</wp:posOffset>
                </wp:positionV>
                <wp:extent cx="1955800" cy="355600"/>
                <wp:effectExtent l="0" t="0" r="6350" b="6350"/>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5800" cy="355600"/>
                          <a:chOff x="0" y="0"/>
                          <a:chExt cx="1955800" cy="355600"/>
                        </a:xfrm>
                        <a:solidFill>
                          <a:schemeClr val="bg1"/>
                        </a:solidFill>
                      </wpg:grpSpPr>
                      <wps:wsp>
                        <wps:cNvPr id="10" name="Graphic 10"/>
                        <wps:cNvSpPr/>
                        <wps:spPr>
                          <a:xfrm>
                            <a:off x="6350" y="6350"/>
                            <a:ext cx="1943100" cy="342900"/>
                          </a:xfrm>
                          <a:custGeom>
                            <a:avLst/>
                            <a:gdLst/>
                            <a:ahLst/>
                            <a:cxnLst/>
                            <a:rect l="l" t="t" r="r" b="b"/>
                            <a:pathLst>
                              <a:path w="1943100" h="342900">
                                <a:moveTo>
                                  <a:pt x="1943100" y="0"/>
                                </a:moveTo>
                                <a:lnTo>
                                  <a:pt x="0" y="0"/>
                                </a:lnTo>
                                <a:lnTo>
                                  <a:pt x="0" y="342900"/>
                                </a:lnTo>
                                <a:lnTo>
                                  <a:pt x="1943100" y="342900"/>
                                </a:lnTo>
                                <a:lnTo>
                                  <a:pt x="1943100" y="0"/>
                                </a:lnTo>
                                <a:close/>
                              </a:path>
                            </a:pathLst>
                          </a:custGeom>
                          <a:grpFill/>
                        </wps:spPr>
                        <wps:bodyPr wrap="square" lIns="0" tIns="0" rIns="0" bIns="0" rtlCol="0">
                          <a:prstTxWarp prst="textNoShape">
                            <a:avLst/>
                          </a:prstTxWarp>
                          <a:noAutofit/>
                        </wps:bodyPr>
                      </wps:wsp>
                      <wps:wsp>
                        <wps:cNvPr id="11" name="Graphic 11"/>
                        <wps:cNvSpPr/>
                        <wps:spPr>
                          <a:xfrm>
                            <a:off x="6350" y="6350"/>
                            <a:ext cx="1943100" cy="342900"/>
                          </a:xfrm>
                          <a:custGeom>
                            <a:avLst/>
                            <a:gdLst/>
                            <a:ahLst/>
                            <a:cxnLst/>
                            <a:rect l="l" t="t" r="r" b="b"/>
                            <a:pathLst>
                              <a:path w="1943100" h="342900">
                                <a:moveTo>
                                  <a:pt x="0" y="342900"/>
                                </a:moveTo>
                                <a:lnTo>
                                  <a:pt x="1943100" y="342900"/>
                                </a:lnTo>
                                <a:lnTo>
                                  <a:pt x="1943100" y="0"/>
                                </a:lnTo>
                                <a:lnTo>
                                  <a:pt x="0" y="0"/>
                                </a:lnTo>
                                <a:lnTo>
                                  <a:pt x="0" y="342900"/>
                                </a:lnTo>
                                <a:close/>
                              </a:path>
                            </a:pathLst>
                          </a:custGeom>
                          <a:grpFill/>
                          <a:ln w="12700">
                            <a:solidFill>
                              <a:srgbClr val="41709C"/>
                            </a:solidFill>
                            <a:prstDash val="solid"/>
                          </a:ln>
                        </wps:spPr>
                        <wps:bodyPr wrap="square" lIns="0" tIns="0" rIns="0" bIns="0" rtlCol="0">
                          <a:prstTxWarp prst="textNoShape">
                            <a:avLst/>
                          </a:prstTxWarp>
                          <a:noAutofit/>
                        </wps:bodyPr>
                      </wps:wsp>
                    </wpg:wgp>
                  </a:graphicData>
                </a:graphic>
              </wp:anchor>
            </w:drawing>
          </mc:Choice>
          <mc:Fallback>
            <w:pict>
              <v:group w14:anchorId="104DB73F" id="Group 9" o:spid="_x0000_s1026" style="position:absolute;margin-left:79pt;margin-top:11.1pt;width:154pt;height:28pt;z-index:-251656192;mso-wrap-distance-left:0;mso-wrap-distance-right:0;mso-position-horizontal-relative:page" coordsize="19558,3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">
                <v:shape id="Graphic 10" o:spid="_x0000_s1027" style="position:absolute;left:63;top:63;width:19431;height:3429;visibility:visible;mso-wrap-style:square;v-text-anchor:top" coordsize="19431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" path="m1943100,l,,,342900r1943100,l1943100,xe" filled="f" stroked="f">
                  <v:path arrowok="t"/>
                </v:shape>
                <v:shape id="Graphic 11" o:spid="_x0000_s1028" style="position:absolute;left:63;top:63;width:19431;height:3429;visibility:visible;mso-wrap-style:square;v-text-anchor:top" coordsize="19431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" path="m,342900r1943100,l1943100,,,,,342900xe" filled="f" strokecolor="#41709c" strokeweight="1pt">
                  <v:path arrowok="t"/>
                </v:shape>
                <w10:wrap type="topAndBottom" anchorx="page"/>
              </v:group>
            </w:pict>
          </mc:Fallback>
        </mc:AlternateContent>
      </w:r>
      <w:r w:rsidRPr="004C6A5D">
        <w:rPr>
          <w:noProof/>
          <w:sz w:val="22"/>
          <w:szCs w:val="22"/>
          <w:lang w:eastAsia="nl-NL"/>
        </w:rPr>
        <mc:AlternateContent>
          <mc:Choice Requires="wpg">
            <w:drawing>
              <wp:anchor distT="0" distB="0" distL="0" distR="0" simplePos="0" relativeHeight="251661312" behindDoc="1" locked="0" layoutInCell="1" allowOverlap="1" wp14:anchorId="1EAF7E2D" wp14:editId="5FFADD8D">
                <wp:simplePos x="0" y="0"/>
                <wp:positionH relativeFrom="page">
                  <wp:posOffset>4697729</wp:posOffset>
                </wp:positionH>
                <wp:positionV relativeFrom="paragraph">
                  <wp:posOffset>142204</wp:posOffset>
                </wp:positionV>
                <wp:extent cx="1955800" cy="356235"/>
                <wp:effectExtent l="0" t="0" r="6350" b="5715"/>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5800" cy="356235"/>
                          <a:chOff x="0" y="0"/>
                          <a:chExt cx="1955800" cy="356235"/>
                        </a:xfrm>
                        <a:noFill/>
                      </wpg:grpSpPr>
                      <wps:wsp>
                        <wps:cNvPr id="13" name="Graphic 13"/>
                        <wps:cNvSpPr/>
                        <wps:spPr>
                          <a:xfrm>
                            <a:off x="7620" y="6350"/>
                            <a:ext cx="1739900" cy="342900"/>
                          </a:xfrm>
                          <a:custGeom>
                            <a:avLst/>
                            <a:gdLst/>
                            <a:ahLst/>
                            <a:cxnLst/>
                            <a:rect l="l" t="t" r="r" b="b"/>
                            <a:pathLst>
                              <a:path w="1739900" h="342900">
                                <a:moveTo>
                                  <a:pt x="0" y="342900"/>
                                </a:moveTo>
                                <a:lnTo>
                                  <a:pt x="1739900" y="342900"/>
                                </a:lnTo>
                                <a:lnTo>
                                  <a:pt x="1739900" y="0"/>
                                </a:lnTo>
                                <a:lnTo>
                                  <a:pt x="0" y="0"/>
                                </a:lnTo>
                                <a:lnTo>
                                  <a:pt x="0" y="342900"/>
                                </a:lnTo>
                                <a:close/>
                              </a:path>
                            </a:pathLst>
                          </a:custGeom>
                          <a:grpFill/>
                          <a:ln w="12700">
                            <a:solidFill>
                              <a:srgbClr val="41709C"/>
                            </a:solidFill>
                            <a:prstDash val="solid"/>
                          </a:ln>
                        </wps:spPr>
                        <wps:bodyPr wrap="square" lIns="0" tIns="0" rIns="0" bIns="0" rtlCol="0">
                          <a:prstTxWarp prst="textNoShape">
                            <a:avLst/>
                          </a:prstTxWarp>
                          <a:noAutofit/>
                        </wps:bodyPr>
                      </wps:wsp>
                      <wps:wsp>
                        <wps:cNvPr id="14" name="Graphic 14"/>
                        <wps:cNvSpPr/>
                        <wps:spPr>
                          <a:xfrm>
                            <a:off x="6350" y="6985"/>
                            <a:ext cx="1943100" cy="342900"/>
                          </a:xfrm>
                          <a:custGeom>
                            <a:avLst/>
                            <a:gdLst/>
                            <a:ahLst/>
                            <a:cxnLst/>
                            <a:rect l="l" t="t" r="r" b="b"/>
                            <a:pathLst>
                              <a:path w="1943100" h="342900">
                                <a:moveTo>
                                  <a:pt x="1943100" y="0"/>
                                </a:moveTo>
                                <a:lnTo>
                                  <a:pt x="0" y="0"/>
                                </a:lnTo>
                                <a:lnTo>
                                  <a:pt x="0" y="342900"/>
                                </a:lnTo>
                                <a:lnTo>
                                  <a:pt x="1943100" y="342900"/>
                                </a:lnTo>
                                <a:lnTo>
                                  <a:pt x="1943100" y="0"/>
                                </a:lnTo>
                                <a:close/>
                              </a:path>
                            </a:pathLst>
                          </a:custGeom>
                          <a:grpFill/>
                        </wps:spPr>
                        <wps:bodyPr wrap="square" lIns="0" tIns="0" rIns="0" bIns="0" rtlCol="0">
                          <a:prstTxWarp prst="textNoShape">
                            <a:avLst/>
                          </a:prstTxWarp>
                          <a:noAutofit/>
                        </wps:bodyPr>
                      </wps:wsp>
                      <wps:wsp>
                        <wps:cNvPr id="15" name="Graphic 15"/>
                        <wps:cNvSpPr/>
                        <wps:spPr>
                          <a:xfrm>
                            <a:off x="6350" y="6985"/>
                            <a:ext cx="1943100" cy="342900"/>
                          </a:xfrm>
                          <a:custGeom>
                            <a:avLst/>
                            <a:gdLst/>
                            <a:ahLst/>
                            <a:cxnLst/>
                            <a:rect l="l" t="t" r="r" b="b"/>
                            <a:pathLst>
                              <a:path w="1943100" h="342900">
                                <a:moveTo>
                                  <a:pt x="0" y="342900"/>
                                </a:moveTo>
                                <a:lnTo>
                                  <a:pt x="1943100" y="342900"/>
                                </a:lnTo>
                                <a:lnTo>
                                  <a:pt x="1943100" y="0"/>
                                </a:lnTo>
                                <a:lnTo>
                                  <a:pt x="0" y="0"/>
                                </a:lnTo>
                                <a:lnTo>
                                  <a:pt x="0" y="342900"/>
                                </a:lnTo>
                                <a:close/>
                              </a:path>
                            </a:pathLst>
                          </a:custGeom>
                          <a:grpFill/>
                          <a:ln w="12700">
                            <a:solidFill>
                              <a:srgbClr val="41709C"/>
                            </a:solidFill>
                            <a:prstDash val="solid"/>
                          </a:ln>
                        </wps:spPr>
                        <wps:bodyPr wrap="square" lIns="0" tIns="0" rIns="0" bIns="0" rtlCol="0">
                          <a:prstTxWarp prst="textNoShape">
                            <a:avLst/>
                          </a:prstTxWarp>
                          <a:noAutofit/>
                        </wps:bodyPr>
                      </wps:wsp>
                    </wpg:wgp>
                  </a:graphicData>
                </a:graphic>
              </wp:anchor>
            </w:drawing>
          </mc:Choice>
          <mc:Fallback>
            <w:pict>
              <v:group w14:anchorId="57351462" id="Group 12" o:spid="_x0000_s1026" style="position:absolute;margin-left:369.9pt;margin-top:11.2pt;width:154pt;height:28.05pt;z-index:-251655168;mso-wrap-distance-left:0;mso-wrap-distance-right:0;mso-position-horizontal-relative:page" coordsize="19558,3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">
                <v:shape id="Graphic 13" o:spid="_x0000_s1027" style="position:absolute;left:76;top:63;width:17399;height:3429;visibility:visible;mso-wrap-style:square;v-text-anchor:top" coordsize="17399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" path="m,342900r1739900,l1739900,,,,,342900xe" filled="f" strokecolor="#41709c" strokeweight="1pt">
                  <v:path arrowok="t"/>
                </v:shape>
                <v:shape id="Graphic 14" o:spid="_x0000_s1028" style="position:absolute;left:63;top:69;width:19431;height:3429;visibility:visible;mso-wrap-style:square;v-text-anchor:top" coordsize="19431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" path="m1943100,l,,,342900r1943100,l1943100,xe" filled="f" stroked="f">
                  <v:path arrowok="t"/>
                </v:shape>
                <v:shape id="Graphic 15" o:spid="_x0000_s1029" style="position:absolute;left:63;top:69;width:19431;height:3429;visibility:visible;mso-wrap-style:square;v-text-anchor:top" coordsize="19431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" path="m,342900r1943100,l1943100,,,,,342900xe" filled="f" strokecolor="#41709c" strokeweight="1pt">
                  <v:path arrowok="t"/>
                </v:shape>
                <w10:wrap type="topAndBottom" anchorx="page"/>
              </v:group>
            </w:pict>
          </mc:Fallback>
        </mc:AlternateContent>
      </w:r>
    </w:p>
    <w:p w14:paraId="0F410AB6" w14:textId="77777777" w:rsidR="00677D12" w:rsidRPr="004C6A5D" w:rsidRDefault="00677D12">
      <w:pPr>
        <w:pStyle w:val="Plattetekst"/>
        <w:rPr>
          <w:sz w:val="22"/>
          <w:szCs w:val="22"/>
        </w:rPr>
      </w:pPr>
    </w:p>
    <w:p w14:paraId="4D44A02A" w14:textId="77777777" w:rsidR="00677D12" w:rsidRPr="004C6A5D" w:rsidRDefault="00677D12">
      <w:pPr>
        <w:pStyle w:val="Plattetekst"/>
        <w:rPr>
          <w:sz w:val="22"/>
          <w:szCs w:val="22"/>
        </w:rPr>
      </w:pPr>
    </w:p>
    <w:p w14:paraId="5CC14000" w14:textId="77777777" w:rsidR="00677D12" w:rsidRPr="004C6A5D" w:rsidRDefault="00677D12">
      <w:pPr>
        <w:pStyle w:val="Plattetekst"/>
        <w:rPr>
          <w:sz w:val="22"/>
          <w:szCs w:val="22"/>
        </w:rPr>
      </w:pPr>
    </w:p>
    <w:p w14:paraId="7CC12A8B" w14:textId="77777777" w:rsidR="00677D12" w:rsidRPr="004C6A5D" w:rsidRDefault="00677D12">
      <w:pPr>
        <w:pStyle w:val="Plattetekst"/>
        <w:rPr>
          <w:sz w:val="22"/>
          <w:szCs w:val="22"/>
        </w:rPr>
      </w:pPr>
    </w:p>
    <w:p w14:paraId="198A21F1" w14:textId="77777777" w:rsidR="00677D12" w:rsidRPr="004C6A5D" w:rsidRDefault="00677D12">
      <w:pPr>
        <w:pStyle w:val="Plattetekst"/>
        <w:rPr>
          <w:sz w:val="22"/>
          <w:szCs w:val="22"/>
        </w:rPr>
      </w:pPr>
    </w:p>
    <w:p w14:paraId="6344CF60" w14:textId="77777777" w:rsidR="00677D12" w:rsidRPr="004C6A5D" w:rsidRDefault="00677D12">
      <w:pPr>
        <w:pStyle w:val="Plattetekst"/>
        <w:rPr>
          <w:sz w:val="22"/>
          <w:szCs w:val="22"/>
        </w:rPr>
      </w:pPr>
    </w:p>
    <w:p w14:paraId="61D471E3" w14:textId="77777777" w:rsidR="00677D12" w:rsidRPr="004C6A5D" w:rsidRDefault="00677D12">
      <w:pPr>
        <w:pStyle w:val="Plattetekst"/>
        <w:rPr>
          <w:sz w:val="22"/>
          <w:szCs w:val="22"/>
        </w:rPr>
      </w:pPr>
    </w:p>
    <w:p w14:paraId="2E21ED67" w14:textId="77777777" w:rsidR="00677D12" w:rsidRPr="004C6A5D" w:rsidRDefault="00677D12">
      <w:pPr>
        <w:pStyle w:val="Plattetekst"/>
        <w:rPr>
          <w:sz w:val="22"/>
          <w:szCs w:val="22"/>
        </w:rPr>
      </w:pPr>
    </w:p>
    <w:p w14:paraId="669D5D62" w14:textId="77777777" w:rsidR="00677D12" w:rsidRPr="004C6A5D" w:rsidRDefault="00677D12">
      <w:pPr>
        <w:pStyle w:val="Plattetekst"/>
        <w:rPr>
          <w:sz w:val="22"/>
          <w:szCs w:val="22"/>
        </w:rPr>
      </w:pPr>
    </w:p>
    <w:p w14:paraId="3E14780E" w14:textId="77777777" w:rsidR="00677D12" w:rsidRPr="004C6A5D" w:rsidRDefault="00677D12">
      <w:pPr>
        <w:pStyle w:val="Plattetekst"/>
        <w:rPr>
          <w:sz w:val="22"/>
          <w:szCs w:val="22"/>
        </w:rPr>
      </w:pPr>
    </w:p>
    <w:p w14:paraId="324E89CD" w14:textId="77777777" w:rsidR="00677D12" w:rsidRPr="004C6A5D" w:rsidRDefault="00677D12">
      <w:pPr>
        <w:pStyle w:val="Plattetekst"/>
        <w:rPr>
          <w:sz w:val="22"/>
          <w:szCs w:val="22"/>
        </w:rPr>
      </w:pPr>
    </w:p>
    <w:p w14:paraId="0A0959B7" w14:textId="77777777" w:rsidR="00677D12" w:rsidRPr="004C6A5D" w:rsidRDefault="00677D12">
      <w:pPr>
        <w:pStyle w:val="Plattetekst"/>
        <w:rPr>
          <w:sz w:val="22"/>
          <w:szCs w:val="22"/>
        </w:rPr>
      </w:pPr>
    </w:p>
    <w:p w14:paraId="23C36599" w14:textId="77777777" w:rsidR="00677D12" w:rsidRPr="004C6A5D" w:rsidRDefault="00677D12">
      <w:pPr>
        <w:pStyle w:val="Plattetekst"/>
        <w:rPr>
          <w:sz w:val="22"/>
          <w:szCs w:val="22"/>
        </w:rPr>
      </w:pPr>
    </w:p>
    <w:p w14:paraId="1A1D6731" w14:textId="77777777" w:rsidR="00677D12" w:rsidRPr="004C6A5D" w:rsidRDefault="00677D12">
      <w:pPr>
        <w:pStyle w:val="Plattetekst"/>
        <w:rPr>
          <w:sz w:val="22"/>
          <w:szCs w:val="22"/>
        </w:rPr>
      </w:pPr>
    </w:p>
    <w:p w14:paraId="750C76A6" w14:textId="77777777" w:rsidR="00677D12" w:rsidRPr="004C6A5D" w:rsidRDefault="00677D12">
      <w:pPr>
        <w:pStyle w:val="Plattetekst"/>
        <w:rPr>
          <w:sz w:val="22"/>
          <w:szCs w:val="22"/>
        </w:rPr>
      </w:pPr>
    </w:p>
    <w:p w14:paraId="7A30B2D1" w14:textId="77777777" w:rsidR="00677D12" w:rsidRPr="004C6A5D" w:rsidRDefault="00677D12">
      <w:pPr>
        <w:pStyle w:val="Plattetekst"/>
        <w:rPr>
          <w:sz w:val="22"/>
          <w:szCs w:val="22"/>
        </w:rPr>
      </w:pPr>
    </w:p>
    <w:p w14:paraId="3948E726" w14:textId="77777777" w:rsidR="00677D12" w:rsidRPr="004C6A5D" w:rsidRDefault="00677D12">
      <w:pPr>
        <w:pStyle w:val="Plattetekst"/>
        <w:rPr>
          <w:sz w:val="22"/>
          <w:szCs w:val="22"/>
        </w:rPr>
      </w:pPr>
    </w:p>
    <w:p w14:paraId="3CD873F2" w14:textId="77777777" w:rsidR="00677D12" w:rsidRPr="004C6A5D" w:rsidRDefault="00677D12">
      <w:pPr>
        <w:pStyle w:val="Plattetekst"/>
        <w:rPr>
          <w:sz w:val="22"/>
          <w:szCs w:val="22"/>
        </w:rPr>
      </w:pPr>
    </w:p>
    <w:p w14:paraId="56E4EE45" w14:textId="77777777" w:rsidR="00677D12" w:rsidRPr="004C6A5D" w:rsidRDefault="00677D12">
      <w:pPr>
        <w:pStyle w:val="Plattetekst"/>
        <w:rPr>
          <w:sz w:val="22"/>
          <w:szCs w:val="22"/>
        </w:rPr>
      </w:pPr>
    </w:p>
    <w:p w14:paraId="2795A15D" w14:textId="77777777" w:rsidR="00677D12" w:rsidRPr="004C6A5D" w:rsidRDefault="00677D12">
      <w:pPr>
        <w:pStyle w:val="Plattetekst"/>
        <w:rPr>
          <w:sz w:val="22"/>
          <w:szCs w:val="22"/>
        </w:rPr>
      </w:pPr>
    </w:p>
    <w:p w14:paraId="325C2D86" w14:textId="77777777" w:rsidR="00677D12" w:rsidRPr="004C6A5D" w:rsidRDefault="00677D12">
      <w:pPr>
        <w:pStyle w:val="Plattetekst"/>
        <w:rPr>
          <w:sz w:val="22"/>
          <w:szCs w:val="22"/>
        </w:rPr>
      </w:pPr>
    </w:p>
    <w:p w14:paraId="154B4520" w14:textId="77777777" w:rsidR="00677D12" w:rsidRPr="004C6A5D" w:rsidRDefault="00677D12">
      <w:pPr>
        <w:pStyle w:val="Plattetekst"/>
        <w:rPr>
          <w:sz w:val="22"/>
          <w:szCs w:val="22"/>
        </w:rPr>
      </w:pPr>
    </w:p>
    <w:p w14:paraId="03A78F21" w14:textId="77777777" w:rsidR="00677D12" w:rsidRPr="004C6A5D" w:rsidRDefault="00A9138D">
      <w:pPr>
        <w:pStyle w:val="Plattetekst"/>
        <w:spacing w:before="108"/>
        <w:rPr>
          <w:sz w:val="22"/>
          <w:szCs w:val="22"/>
        </w:rPr>
      </w:pPr>
      <w:r w:rsidRPr="004C6A5D">
        <w:rPr>
          <w:noProof/>
          <w:sz w:val="22"/>
          <w:szCs w:val="22"/>
          <w:lang w:eastAsia="nl-NL"/>
        </w:rPr>
        <mc:AlternateContent>
          <mc:Choice Requires="wps">
            <w:drawing>
              <wp:anchor distT="0" distB="0" distL="0" distR="0" simplePos="0" relativeHeight="251662336" behindDoc="1" locked="0" layoutInCell="1" allowOverlap="1" wp14:anchorId="0216BA2F" wp14:editId="3CF156FF">
                <wp:simplePos x="0" y="0"/>
                <wp:positionH relativeFrom="page">
                  <wp:posOffset>898842</wp:posOffset>
                </wp:positionH>
                <wp:positionV relativeFrom="paragraph">
                  <wp:posOffset>239208</wp:posOffset>
                </wp:positionV>
                <wp:extent cx="1830070" cy="952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816" y="0"/>
                              </a:moveTo>
                              <a:lnTo>
                                <a:pt x="0" y="0"/>
                              </a:lnTo>
                              <a:lnTo>
                                <a:pt x="0" y="9525"/>
                              </a:lnTo>
                              <a:lnTo>
                                <a:pt x="1829816" y="9525"/>
                              </a:lnTo>
                              <a:lnTo>
                                <a:pt x="1829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F5D9FF" id="Graphic 16" o:spid="_x0000_s1026" style="position:absolute;margin-left:70.75pt;margin-top:18.85pt;width:144.1pt;height:.75pt;z-index:-251654144;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" path="m1829816,l,,,9525r1829816,l1829816,xe" fillcolor="black" stroked="f">
                <v:path arrowok="t"/>
                <w10:wrap type="topAndBottom" anchorx="page"/>
              </v:shape>
            </w:pict>
          </mc:Fallback>
        </mc:AlternateContent>
      </w:r>
    </w:p>
    <w:sectPr w:rsidR="00677D12" w:rsidRPr="004C6A5D" w:rsidSect="00A9138D">
      <w:footerReference w:type="default" r:id="rId12"/>
      <w:pgSz w:w="11910" w:h="16840"/>
      <w:pgMar w:top="1440" w:right="1440" w:bottom="1440" w:left="1440" w:header="0" w:footer="131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DED1A" w14:textId="77777777" w:rsidR="00A97522" w:rsidRDefault="00A97522">
      <w:r>
        <w:separator/>
      </w:r>
    </w:p>
  </w:endnote>
  <w:endnote w:type="continuationSeparator" w:id="0">
    <w:p w14:paraId="625049A7" w14:textId="77777777" w:rsidR="00A97522" w:rsidRDefault="00A9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BB12" w14:textId="77777777" w:rsidR="00677D12" w:rsidRDefault="00A9138D">
    <w:pPr>
      <w:pStyle w:val="Plattetekst"/>
      <w:spacing w:line="14" w:lineRule="auto"/>
      <w:rPr>
        <w:sz w:val="20"/>
      </w:rPr>
    </w:pPr>
    <w:r>
      <w:rPr>
        <w:noProof/>
        <w:lang w:eastAsia="nl-NL"/>
      </w:rPr>
      <mc:AlternateContent>
        <mc:Choice Requires="wps">
          <w:drawing>
            <wp:anchor distT="0" distB="0" distL="0" distR="0" simplePos="0" relativeHeight="251657216" behindDoc="1" locked="0" layoutInCell="1" allowOverlap="1" wp14:anchorId="004A334C" wp14:editId="1D78836B">
              <wp:simplePos x="0" y="0"/>
              <wp:positionH relativeFrom="page">
                <wp:posOffset>889000</wp:posOffset>
              </wp:positionH>
              <wp:positionV relativeFrom="page">
                <wp:posOffset>9702800</wp:posOffset>
              </wp:positionV>
              <wp:extent cx="838200" cy="1778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177800"/>
                      </a:xfrm>
                      <a:prstGeom prst="rect">
                        <a:avLst/>
                      </a:prstGeom>
                    </wps:spPr>
                    <wps:txbx>
                      <w:txbxContent>
                        <w:p w14:paraId="68E9E455" w14:textId="77777777" w:rsidR="00677D12" w:rsidRDefault="00A9138D">
                          <w:pPr>
                            <w:pStyle w:val="Plattetekst"/>
                            <w:spacing w:line="264" w:lineRule="exact"/>
                            <w:ind w:left="20"/>
                          </w:pPr>
                          <w:r>
                            <w:t>Vastgesteld</w:t>
                          </w:r>
                        </w:p>
                      </w:txbxContent>
                    </wps:txbx>
                    <wps:bodyPr wrap="square" lIns="0" tIns="0" rIns="0" bIns="0" rtlCol="0">
                      <a:noAutofit/>
                    </wps:bodyPr>
                  </wps:wsp>
                </a:graphicData>
              </a:graphic>
              <wp14:sizeRelH relativeFrom="margin">
                <wp14:pctWidth>0</wp14:pctWidth>
              </wp14:sizeRelH>
            </wp:anchor>
          </w:drawing>
        </mc:Choice>
        <mc:Fallback>
          <w:pict>
            <v:shapetype w14:anchorId="004A334C" id="_x0000_t202" coordsize="21600,21600" o:spt="202" path="m,l,21600r21600,l21600,xe">
              <v:stroke joinstyle="miter"/>
              <v:path gradientshapeok="t" o:connecttype="rect"/>
            </v:shapetype>
            <v:shape id="Textbox 3" o:spid="_x0000_s1026" type="#_x0000_t202" style="position:absolute;margin-left:70pt;margin-top:764pt;width:66pt;height:14pt;z-index:-2516592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" filled="f" stroked="f">
              <v:path arrowok="t"/>
              <v:textbox inset="0,0,0,0">
                <w:txbxContent>
                  <w:p w14:paraId="68E9E455" w14:textId="77777777" w:rsidR="00677D12" w:rsidRDefault="00A9138D">
                    <w:pPr>
                      <w:pStyle w:val="Plattetekst"/>
                      <w:spacing w:line="264" w:lineRule="exact"/>
                      <w:ind w:left="20"/>
                    </w:pPr>
                    <w:r>
                      <w:t>Vastgesteld</w:t>
                    </w:r>
                  </w:p>
                </w:txbxContent>
              </v:textbox>
              <w10:wrap anchorx="page" anchory="page"/>
            </v:shape>
          </w:pict>
        </mc:Fallback>
      </mc:AlternateContent>
    </w:r>
    <w:r>
      <w:rPr>
        <w:noProof/>
        <w:lang w:eastAsia="nl-NL"/>
      </w:rPr>
      <mc:AlternateContent>
        <mc:Choice Requires="wps">
          <w:drawing>
            <wp:anchor distT="0" distB="0" distL="0" distR="0" simplePos="0" relativeHeight="251661312" behindDoc="1" locked="0" layoutInCell="1" allowOverlap="1" wp14:anchorId="14DE86C6" wp14:editId="37E50B29">
              <wp:simplePos x="0" y="0"/>
              <wp:positionH relativeFrom="page">
                <wp:posOffset>6517893</wp:posOffset>
              </wp:positionH>
              <wp:positionV relativeFrom="page">
                <wp:posOffset>9705657</wp:posOffset>
              </wp:positionV>
              <wp:extent cx="166370" cy="1778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69E6588C" w14:textId="0FE829DA" w:rsidR="00677D12" w:rsidRDefault="00A9138D">
                          <w:pPr>
                            <w:pStyle w:val="Plattetekst"/>
                            <w:spacing w:line="264" w:lineRule="exact"/>
                            <w:ind w:left="60"/>
                          </w:pPr>
                          <w:r>
                            <w:fldChar w:fldCharType="begin"/>
                          </w:r>
                          <w:r>
                            <w:instrText xml:space="preserve"> PAGE </w:instrText>
                          </w:r>
                          <w:r>
                            <w:fldChar w:fldCharType="separate"/>
                          </w:r>
                          <w:r w:rsidR="004B4475">
                            <w:rPr>
                              <w:noProof/>
                            </w:rPr>
                            <w:t>4</w:t>
                          </w:r>
                          <w:r>
                            <w:fldChar w:fldCharType="end"/>
                          </w:r>
                        </w:p>
                      </w:txbxContent>
                    </wps:txbx>
                    <wps:bodyPr wrap="square" lIns="0" tIns="0" rIns="0" bIns="0" rtlCol="0">
                      <a:noAutofit/>
                    </wps:bodyPr>
                  </wps:wsp>
                </a:graphicData>
              </a:graphic>
            </wp:anchor>
          </w:drawing>
        </mc:Choice>
        <mc:Fallback>
          <w:pict>
            <v:shapetype w14:anchorId="14DE86C6" id="_x0000_t202" coordsize="21600,21600" o:spt="202" path="m,l,21600r21600,l21600,xe">
              <v:stroke joinstyle="miter"/>
              <v:path gradientshapeok="t" o:connecttype="rect"/>
            </v:shapetype>
            <v:shape id="Textbox 4" o:spid="_x0000_s1027" type="#_x0000_t202" style="position:absolute;margin-left:513.2pt;margin-top:764.2pt;width:13.1pt;height:14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" filled="f" stroked="f">
              <v:path arrowok="t"/>
              <v:textbox inset="0,0,0,0">
                <w:txbxContent>
                  <w:p w14:paraId="69E6588C" w14:textId="0FE829DA" w:rsidR="00677D12" w:rsidRDefault="00A9138D">
                    <w:pPr>
                      <w:pStyle w:val="Plattetekst"/>
                      <w:spacing w:line="264" w:lineRule="exact"/>
                      <w:ind w:left="60"/>
                    </w:pPr>
                    <w:r>
                      <w:fldChar w:fldCharType="begin"/>
                    </w:r>
                    <w:r>
                      <w:instrText xml:space="preserve"> PAGE </w:instrText>
                    </w:r>
                    <w:r>
                      <w:fldChar w:fldCharType="separate"/>
                    </w:r>
                    <w:r w:rsidR="004B4475">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4C9EB" w14:textId="77777777" w:rsidR="00A97522" w:rsidRDefault="00A97522">
      <w:r>
        <w:separator/>
      </w:r>
    </w:p>
  </w:footnote>
  <w:footnote w:type="continuationSeparator" w:id="0">
    <w:p w14:paraId="1746CD80" w14:textId="77777777" w:rsidR="00A97522" w:rsidRDefault="00A97522">
      <w:r>
        <w:continuationSeparator/>
      </w:r>
    </w:p>
  </w:footnote>
  <w:footnote w:id="1">
    <w:p w14:paraId="121F90AD" w14:textId="68F01C8D" w:rsidR="00D86022" w:rsidRDefault="00D86022" w:rsidP="00602D6D">
      <w:pPr>
        <w:spacing w:before="2" w:line="237" w:lineRule="auto"/>
        <w:ind w:left="115" w:right="110"/>
        <w:jc w:val="both"/>
      </w:pPr>
      <w:r>
        <w:rPr>
          <w:rStyle w:val="Voetnootmarkering"/>
        </w:rPr>
        <w:footnoteRef/>
      </w:r>
      <w:r>
        <w:t xml:space="preserve"> </w:t>
      </w:r>
      <w:r w:rsidRPr="004C6A5D">
        <w:rPr>
          <w:sz w:val="20"/>
          <w:szCs w:val="20"/>
        </w:rPr>
        <w:t>Ten behoeve van dit document worden verwijzingen naar de Civil Liberties Protection Officer (‘CLPO’) opgevat als de Civil Liberties Protection Officer (functionaris voor de bescherming van de burgerlijke vrijheden) van het Amerikaanse Bureau van de directeur van de nationale inlichtingendienst (‘ODNI CLPO’).</w:t>
      </w:r>
    </w:p>
  </w:footnote>
  <w:footnote w:id="2">
    <w:p w14:paraId="7BBC2688" w14:textId="66EBF680" w:rsidR="00D86022" w:rsidRPr="004C6A5D" w:rsidRDefault="00D86022" w:rsidP="00602D6D">
      <w:pPr>
        <w:spacing w:before="2" w:line="237" w:lineRule="auto"/>
        <w:ind w:left="115" w:right="110"/>
        <w:jc w:val="both"/>
        <w:rPr>
          <w:sz w:val="20"/>
          <w:szCs w:val="20"/>
        </w:rPr>
      </w:pPr>
      <w:r>
        <w:rPr>
          <w:rStyle w:val="Voetnootmarkering"/>
        </w:rPr>
        <w:footnoteRef/>
      </w:r>
      <w:r>
        <w:t xml:space="preserve"> </w:t>
      </w:r>
      <w:r w:rsidRPr="004C6A5D">
        <w:rPr>
          <w:sz w:val="20"/>
          <w:szCs w:val="20"/>
        </w:rPr>
        <w:t>Verwijzingen naar de "</w:t>
      </w:r>
      <w:r w:rsidRPr="004C6A5D">
        <w:rPr>
          <w:b/>
          <w:bCs/>
          <w:sz w:val="20"/>
          <w:szCs w:val="20"/>
        </w:rPr>
        <w:t>EU</w:t>
      </w:r>
      <w:r w:rsidRPr="004C6A5D">
        <w:rPr>
          <w:sz w:val="20"/>
          <w:szCs w:val="20"/>
        </w:rPr>
        <w:t>" in dit document moeten worden begrepen als verwijzingen naar de "</w:t>
      </w:r>
      <w:r w:rsidRPr="004C6A5D">
        <w:rPr>
          <w:b/>
          <w:bCs/>
          <w:sz w:val="20"/>
          <w:szCs w:val="20"/>
        </w:rPr>
        <w:t>EER</w:t>
      </w:r>
      <w:r w:rsidRPr="004C6A5D">
        <w:rPr>
          <w:sz w:val="20"/>
          <w:szCs w:val="20"/>
        </w:rPr>
        <w:t>".</w:t>
      </w:r>
    </w:p>
  </w:footnote>
  <w:footnote w:id="3">
    <w:p w14:paraId="661B7885" w14:textId="7F707792" w:rsidR="00D86022" w:rsidRPr="004C6A5D" w:rsidRDefault="00D86022" w:rsidP="00D86022">
      <w:pPr>
        <w:spacing w:before="2" w:line="237" w:lineRule="auto"/>
        <w:ind w:left="115" w:right="110"/>
        <w:jc w:val="both"/>
        <w:rPr>
          <w:sz w:val="20"/>
          <w:szCs w:val="20"/>
        </w:rPr>
      </w:pPr>
      <w:r w:rsidRPr="004C6A5D">
        <w:rPr>
          <w:rStyle w:val="Voetnootmarkering"/>
          <w:sz w:val="20"/>
          <w:szCs w:val="20"/>
        </w:rPr>
        <w:footnoteRef/>
      </w:r>
      <w:r w:rsidRPr="004C6A5D">
        <w:rPr>
          <w:sz w:val="20"/>
          <w:szCs w:val="20"/>
        </w:rPr>
        <w:t xml:space="preserve"> Uitvoeringsbesluit van de Commissie van 10 juli 2023 overeenkomstig Verordening (EU) 2016/679 van het Europees Parlement en de Raad betreffende het passende beschermingsniveau voor persoonsgegevens in het kader van het EU-VS-</w:t>
      </w:r>
      <w:r w:rsidR="00D13954">
        <w:rPr>
          <w:sz w:val="20"/>
          <w:szCs w:val="20"/>
        </w:rPr>
        <w:t>raamwerk</w:t>
      </w:r>
      <w:r w:rsidRPr="004C6A5D">
        <w:rPr>
          <w:sz w:val="20"/>
          <w:szCs w:val="20"/>
        </w:rPr>
        <w:t xml:space="preserve"> voor gegevensbescherming, </w:t>
      </w:r>
      <w:hyperlink r:id="rId1">
        <w:r w:rsidRPr="004C6A5D">
          <w:rPr>
            <w:sz w:val="20"/>
            <w:szCs w:val="20"/>
          </w:rPr>
          <w:t>(</w:t>
        </w:r>
        <w:r w:rsidRPr="004C6A5D">
          <w:rPr>
            <w:color w:val="0562C1"/>
            <w:sz w:val="20"/>
            <w:szCs w:val="20"/>
            <w:u w:val="single" w:color="0562C1"/>
          </w:rPr>
          <w:t>https://commission.europa.eu/system/files/2023-07/Adequacy%20decision%20EU-</w:t>
        </w:r>
      </w:hyperlink>
      <w:r w:rsidRPr="004C6A5D">
        <w:rPr>
          <w:sz w:val="20"/>
          <w:szCs w:val="20"/>
        </w:rPr>
        <w:t>.</w:t>
      </w:r>
    </w:p>
    <w:p w14:paraId="457212B9" w14:textId="10528A74" w:rsidR="00D86022" w:rsidRPr="004C6A5D" w:rsidRDefault="00AB1631" w:rsidP="00D86022">
      <w:pPr>
        <w:spacing w:before="1"/>
        <w:ind w:left="115"/>
        <w:jc w:val="both"/>
        <w:rPr>
          <w:sz w:val="20"/>
          <w:szCs w:val="20"/>
          <w:lang w:val="en-US"/>
        </w:rPr>
      </w:pPr>
      <w:hyperlink r:id="rId2">
        <w:r w:rsidR="00D86022" w:rsidRPr="004C6A5D">
          <w:rPr>
            <w:color w:val="0562C1"/>
            <w:sz w:val="20"/>
            <w:szCs w:val="20"/>
            <w:u w:val="single" w:color="0562C1"/>
            <w:lang w:val="en-US"/>
          </w:rPr>
          <w:t>US%20Data%20Privacy%20Framework en.pdf</w:t>
        </w:r>
      </w:hyperlink>
      <w:r w:rsidR="00D86022" w:rsidRPr="004C6A5D">
        <w:rPr>
          <w:sz w:val="20"/>
          <w:szCs w:val="20"/>
          <w:lang w:val="en-US"/>
        </w:rPr>
        <w:t>).</w:t>
      </w:r>
    </w:p>
  </w:footnote>
  <w:footnote w:id="4">
    <w:p w14:paraId="2E9DC6BC" w14:textId="460AB29B" w:rsidR="00D86022" w:rsidRPr="004C6A5D" w:rsidRDefault="00D86022" w:rsidP="00602D6D">
      <w:pPr>
        <w:spacing w:before="2" w:line="237" w:lineRule="auto"/>
        <w:ind w:left="115" w:right="110"/>
        <w:jc w:val="both"/>
        <w:rPr>
          <w:sz w:val="20"/>
          <w:szCs w:val="20"/>
        </w:rPr>
      </w:pPr>
      <w:r w:rsidRPr="004C6A5D">
        <w:rPr>
          <w:rStyle w:val="Voetnootmarkering"/>
          <w:sz w:val="20"/>
          <w:szCs w:val="20"/>
        </w:rPr>
        <w:footnoteRef/>
      </w:r>
      <w:r w:rsidRPr="004C6A5D">
        <w:rPr>
          <w:sz w:val="20"/>
          <w:szCs w:val="20"/>
        </w:rPr>
        <w:t xml:space="preserve">  Dit </w:t>
      </w:r>
      <w:r w:rsidR="00F60044">
        <w:rPr>
          <w:sz w:val="20"/>
          <w:szCs w:val="20"/>
        </w:rPr>
        <w:t>klacht</w:t>
      </w:r>
      <w:r w:rsidRPr="004C6A5D">
        <w:rPr>
          <w:sz w:val="20"/>
          <w:szCs w:val="20"/>
        </w:rPr>
        <w:t>mechanisme is ook van toepassing op personen van wie de persoonsgegevens aan de V</w:t>
      </w:r>
      <w:r w:rsidR="00F60044">
        <w:rPr>
          <w:sz w:val="20"/>
          <w:szCs w:val="20"/>
        </w:rPr>
        <w:t xml:space="preserve">erenigde </w:t>
      </w:r>
      <w:r w:rsidRPr="004C6A5D">
        <w:rPr>
          <w:sz w:val="20"/>
          <w:szCs w:val="20"/>
        </w:rPr>
        <w:t>S</w:t>
      </w:r>
      <w:r w:rsidR="00F60044">
        <w:rPr>
          <w:sz w:val="20"/>
          <w:szCs w:val="20"/>
        </w:rPr>
        <w:t>taten</w:t>
      </w:r>
      <w:r w:rsidRPr="004C6A5D">
        <w:rPr>
          <w:sz w:val="20"/>
          <w:szCs w:val="20"/>
        </w:rPr>
        <w:t xml:space="preserve"> zijn doorgegeven op grond van bindende bedrijfsvoorschriften (artikel 46, lid 2, punt b), AVG, standaardcontractbepalingen op grond van artikel 46, lid 2, punt c) of d)</w:t>
      </w:r>
      <w:r w:rsidR="00F60044">
        <w:rPr>
          <w:sz w:val="20"/>
          <w:szCs w:val="20"/>
        </w:rPr>
        <w:t xml:space="preserve"> van de</w:t>
      </w:r>
      <w:r w:rsidRPr="004C6A5D">
        <w:rPr>
          <w:sz w:val="20"/>
          <w:szCs w:val="20"/>
        </w:rPr>
        <w:t xml:space="preserve"> AVG, gedragscodes op grond van artikel 46, lid 2, punt e)</w:t>
      </w:r>
      <w:r w:rsidR="00F60044">
        <w:rPr>
          <w:sz w:val="20"/>
          <w:szCs w:val="20"/>
        </w:rPr>
        <w:t xml:space="preserve"> van de</w:t>
      </w:r>
      <w:r w:rsidRPr="004C6A5D">
        <w:rPr>
          <w:sz w:val="20"/>
          <w:szCs w:val="20"/>
        </w:rPr>
        <w:t xml:space="preserve"> AVG, certificeringen op grond van artikel 46, lid 2, punt f)</w:t>
      </w:r>
      <w:r w:rsidR="00F60044">
        <w:rPr>
          <w:sz w:val="20"/>
          <w:szCs w:val="20"/>
        </w:rPr>
        <w:t xml:space="preserve"> van de</w:t>
      </w:r>
      <w:r w:rsidRPr="004C6A5D">
        <w:rPr>
          <w:sz w:val="20"/>
          <w:szCs w:val="20"/>
        </w:rPr>
        <w:t xml:space="preserve"> AVG of ad-hoc</w:t>
      </w:r>
      <w:r w:rsidR="00F60044">
        <w:rPr>
          <w:sz w:val="20"/>
          <w:szCs w:val="20"/>
        </w:rPr>
        <w:t xml:space="preserve"> </w:t>
      </w:r>
      <w:r w:rsidRPr="004C6A5D">
        <w:rPr>
          <w:sz w:val="20"/>
          <w:szCs w:val="20"/>
        </w:rPr>
        <w:t>contractbepalingen op grond van artikel 46, lid 3, punt a)</w:t>
      </w:r>
      <w:r w:rsidR="00F60044">
        <w:rPr>
          <w:sz w:val="20"/>
          <w:szCs w:val="20"/>
        </w:rPr>
        <w:t xml:space="preserve"> van de</w:t>
      </w:r>
      <w:r w:rsidRPr="004C6A5D">
        <w:rPr>
          <w:sz w:val="20"/>
          <w:szCs w:val="20"/>
        </w:rPr>
        <w:t xml:space="preserve"> AVG.</w:t>
      </w:r>
      <w:r w:rsidRPr="004C6A5D">
        <w:rPr>
          <w:sz w:val="20"/>
          <w:szCs w:val="20"/>
        </w:rPr>
        <w:tab/>
        <w:t xml:space="preserve"> </w:t>
      </w:r>
      <w:r w:rsidRPr="004C6A5D">
        <w:rPr>
          <w:sz w:val="20"/>
          <w:szCs w:val="20"/>
        </w:rPr>
        <w:tab/>
      </w:r>
    </w:p>
  </w:footnote>
  <w:footnote w:id="5">
    <w:p w14:paraId="0DEA27A0" w14:textId="62109894" w:rsidR="003C62DE" w:rsidRPr="004C6A5D" w:rsidRDefault="003C62DE" w:rsidP="00602D6D">
      <w:pPr>
        <w:spacing w:before="2" w:line="237" w:lineRule="auto"/>
        <w:ind w:left="115" w:right="110"/>
        <w:jc w:val="both"/>
        <w:rPr>
          <w:sz w:val="20"/>
          <w:szCs w:val="20"/>
          <w:lang w:val="en-US"/>
        </w:rPr>
      </w:pPr>
      <w:r w:rsidRPr="004C6A5D">
        <w:rPr>
          <w:rStyle w:val="Voetnootmarkering"/>
          <w:sz w:val="20"/>
          <w:szCs w:val="20"/>
        </w:rPr>
        <w:footnoteRef/>
      </w:r>
      <w:r w:rsidRPr="004C6A5D">
        <w:rPr>
          <w:sz w:val="20"/>
          <w:szCs w:val="20"/>
        </w:rPr>
        <w:t xml:space="preserve"> Verdere specificaties met betrekking tot dit </w:t>
      </w:r>
      <w:r w:rsidR="00F60044">
        <w:rPr>
          <w:sz w:val="20"/>
          <w:szCs w:val="20"/>
        </w:rPr>
        <w:t>klacht</w:t>
      </w:r>
      <w:r w:rsidRPr="004C6A5D">
        <w:rPr>
          <w:sz w:val="20"/>
          <w:szCs w:val="20"/>
        </w:rPr>
        <w:t>mechanisme zijn ook te vinden in Executive Order 14086 (‘</w:t>
      </w:r>
      <w:hyperlink r:id="rId3">
        <w:r w:rsidRPr="004C6A5D">
          <w:rPr>
            <w:b/>
            <w:sz w:val="20"/>
            <w:szCs w:val="20"/>
          </w:rPr>
          <w:t>E.O.</w:t>
        </w:r>
      </w:hyperlink>
      <w:hyperlink r:id="rId4">
        <w:r w:rsidRPr="004C6A5D">
          <w:rPr>
            <w:b/>
            <w:sz w:val="20"/>
            <w:szCs w:val="20"/>
          </w:rPr>
          <w:t xml:space="preserve"> </w:t>
        </w:r>
        <w:r w:rsidRPr="004C6A5D">
          <w:rPr>
            <w:b/>
            <w:sz w:val="20"/>
            <w:szCs w:val="20"/>
            <w:lang w:val="en-US"/>
          </w:rPr>
          <w:t>14086</w:t>
        </w:r>
      </w:hyperlink>
      <w:r w:rsidRPr="004C6A5D">
        <w:rPr>
          <w:sz w:val="20"/>
          <w:szCs w:val="20"/>
          <w:lang w:val="en-US"/>
        </w:rPr>
        <w:t xml:space="preserve">’)   </w:t>
      </w:r>
      <w:hyperlink r:id="rId5">
        <w:r w:rsidRPr="004C6A5D">
          <w:rPr>
            <w:color w:val="0562C1"/>
            <w:sz w:val="20"/>
            <w:szCs w:val="20"/>
            <w:u w:val="single" w:color="0562C1"/>
            <w:lang w:val="en-US"/>
          </w:rPr>
          <w:t>https://www.govinfo.gov/content/pkg/FR-2022-10-14/pdf/2022-22531.pdf</w:t>
        </w:r>
        <w:r w:rsidRPr="004C6A5D">
          <w:rPr>
            <w:sz w:val="20"/>
            <w:szCs w:val="20"/>
            <w:lang w:val="en-US"/>
          </w:rPr>
          <w:t>,</w:t>
        </w:r>
      </w:hyperlink>
      <w:r w:rsidRPr="004C6A5D">
        <w:rPr>
          <w:sz w:val="20"/>
          <w:szCs w:val="20"/>
          <w:lang w:val="en-US"/>
        </w:rPr>
        <w:t xml:space="preserve"> zoals aangevuld door de U.S. Attorney General Regulation on the Data Protection Review Court ( </w:t>
      </w:r>
      <w:hyperlink r:id="rId6">
        <w:r w:rsidRPr="004C6A5D">
          <w:rPr>
            <w:color w:val="0562C1"/>
            <w:sz w:val="20"/>
            <w:szCs w:val="20"/>
            <w:u w:val="single" w:color="0562C1"/>
            <w:lang w:val="en-US"/>
          </w:rPr>
          <w:t>https://www.justice.gov/d9/pages/attachments/2022/10/07/dprc final rule signed.pdf</w:t>
        </w:r>
      </w:hyperlink>
      <w:r w:rsidRPr="004C6A5D">
        <w:rPr>
          <w:sz w:val="20"/>
          <w:szCs w:val="20"/>
          <w:u w:val="single"/>
          <w:lang w:val="en-US"/>
        </w:rPr>
        <w:t>);</w:t>
      </w:r>
      <w:r w:rsidRPr="004C6A5D">
        <w:rPr>
          <w:sz w:val="20"/>
          <w:szCs w:val="20"/>
          <w:u w:val="single" w:color="0562C1"/>
          <w:lang w:val="en-US"/>
        </w:rPr>
        <w:t xml:space="preserve"> </w:t>
      </w:r>
      <w:r w:rsidRPr="004C6A5D">
        <w:rPr>
          <w:sz w:val="20"/>
          <w:szCs w:val="20"/>
          <w:lang w:val="en-US"/>
        </w:rPr>
        <w:t>Zie ook de Implementation Procedures for the Signals Intelligence Redress Mechanism Under Executive Order 14086 (‘</w:t>
      </w:r>
      <w:r w:rsidRPr="004C6A5D">
        <w:rPr>
          <w:b/>
          <w:sz w:val="20"/>
          <w:szCs w:val="20"/>
          <w:lang w:val="en-US"/>
        </w:rPr>
        <w:t>Intelligence Directive 126</w:t>
      </w:r>
      <w:r w:rsidRPr="004C6A5D">
        <w:rPr>
          <w:sz w:val="20"/>
          <w:szCs w:val="20"/>
          <w:lang w:val="en-US"/>
        </w:rPr>
        <w:t xml:space="preserve">’): </w:t>
      </w:r>
      <w:hyperlink r:id="rId7">
        <w:r w:rsidRPr="004C6A5D">
          <w:rPr>
            <w:color w:val="0562C1"/>
            <w:sz w:val="20"/>
            <w:szCs w:val="20"/>
            <w:u w:val="single" w:color="0562C1"/>
            <w:lang w:val="en-US"/>
          </w:rPr>
          <w:t>https://www.dni.gov/files/documents/ICD/ICD 126-Implementation-Procedures-for-SIGINT-Redress-</w:t>
        </w:r>
      </w:hyperlink>
      <w:r w:rsidRPr="004C6A5D">
        <w:rPr>
          <w:color w:val="0562C1"/>
          <w:sz w:val="20"/>
          <w:szCs w:val="20"/>
          <w:lang w:val="en-US"/>
        </w:rPr>
        <w:t xml:space="preserve"> </w:t>
      </w:r>
      <w:hyperlink r:id="rId8">
        <w:r w:rsidRPr="004C6A5D">
          <w:rPr>
            <w:color w:val="0562C1"/>
            <w:sz w:val="20"/>
            <w:szCs w:val="20"/>
            <w:u w:val="single" w:color="0562C1"/>
            <w:lang w:val="en-US"/>
          </w:rPr>
          <w:t>Mechanism.pdf.</w:t>
        </w:r>
      </w:hyperlink>
    </w:p>
  </w:footnote>
  <w:footnote w:id="6">
    <w:p w14:paraId="6A4C7758" w14:textId="0F8F4D89" w:rsidR="00F24864" w:rsidRDefault="00F24864">
      <w:pPr>
        <w:pStyle w:val="Voetnoottekst"/>
      </w:pPr>
      <w:r>
        <w:rPr>
          <w:rStyle w:val="Voetnootmarkering"/>
        </w:rPr>
        <w:footnoteRef/>
      </w:r>
      <w:r>
        <w:t xml:space="preserve"> Toegang tot digitaal berichtenverkeer tussen de EU en de VS door Amerikaanse inlichtingendiensten voor nationale veiligheidsdoeleinden.</w:t>
      </w:r>
    </w:p>
  </w:footnote>
  <w:footnote w:id="7">
    <w:p w14:paraId="73A3FE4E" w14:textId="31BA509D" w:rsidR="00F24864" w:rsidRDefault="00F24864">
      <w:pPr>
        <w:pStyle w:val="Voetnoottekst"/>
      </w:pPr>
      <w:r>
        <w:rPr>
          <w:rStyle w:val="Voetnootmarkering"/>
        </w:rPr>
        <w:footnoteRef/>
      </w:r>
      <w:r>
        <w:t xml:space="preserve"> </w:t>
      </w:r>
      <w:r w:rsidR="00D86747">
        <w:t>A</w:t>
      </w:r>
      <w:r w:rsidRPr="00F24864">
        <w:t>rtikel 4, punt k, onderdeel i tot en met iv</w:t>
      </w:r>
      <w:r>
        <w:t xml:space="preserve"> </w:t>
      </w:r>
      <w:r w:rsidR="00D86747">
        <w:t xml:space="preserve">van </w:t>
      </w:r>
      <w:r>
        <w:t>E.O. 14086</w:t>
      </w:r>
      <w:r w:rsidR="00D86747">
        <w:t>.</w:t>
      </w:r>
    </w:p>
  </w:footnote>
  <w:footnote w:id="8">
    <w:p w14:paraId="29C2867A" w14:textId="261AD1C1" w:rsidR="003C62DE" w:rsidRPr="004C6A5D" w:rsidRDefault="003C62DE" w:rsidP="00602D6D">
      <w:pPr>
        <w:spacing w:before="2" w:line="237" w:lineRule="auto"/>
        <w:ind w:left="115" w:right="110"/>
        <w:jc w:val="both"/>
        <w:rPr>
          <w:sz w:val="20"/>
          <w:szCs w:val="20"/>
        </w:rPr>
      </w:pPr>
      <w:r w:rsidRPr="004C6A5D">
        <w:rPr>
          <w:rStyle w:val="Voetnootmarkering"/>
          <w:sz w:val="20"/>
          <w:szCs w:val="20"/>
        </w:rPr>
        <w:footnoteRef/>
      </w:r>
      <w:r w:rsidRPr="004C6A5D">
        <w:rPr>
          <w:sz w:val="20"/>
          <w:szCs w:val="20"/>
        </w:rPr>
        <w:t xml:space="preserve"> E.O. </w:t>
      </w:r>
      <w:r w:rsidR="00527EF9" w:rsidRPr="004C6A5D">
        <w:rPr>
          <w:sz w:val="20"/>
          <w:szCs w:val="20"/>
        </w:rPr>
        <w:t xml:space="preserve">14086, </w:t>
      </w:r>
      <w:r w:rsidRPr="004C6A5D">
        <w:rPr>
          <w:sz w:val="20"/>
          <w:szCs w:val="20"/>
        </w:rPr>
        <w:t>artikel 4, onder k), v), bepaalt het volgende: “‘</w:t>
      </w:r>
      <w:r w:rsidRPr="004C6A5D">
        <w:rPr>
          <w:i/>
          <w:iCs/>
          <w:sz w:val="20"/>
          <w:szCs w:val="20"/>
        </w:rPr>
        <w:t xml:space="preserve">een </w:t>
      </w:r>
      <w:r w:rsidR="00527EF9" w:rsidRPr="004C6A5D">
        <w:rPr>
          <w:i/>
          <w:iCs/>
          <w:sz w:val="20"/>
          <w:szCs w:val="20"/>
        </w:rPr>
        <w:t>‘</w:t>
      </w:r>
      <w:r w:rsidRPr="004C6A5D">
        <w:rPr>
          <w:i/>
          <w:iCs/>
          <w:sz w:val="20"/>
          <w:szCs w:val="20"/>
        </w:rPr>
        <w:t xml:space="preserve">in aanmerking komende klacht’: een schriftelijk ingediende klacht die (..) wordt doorgezonden door de bevoegde overheidsinstantie in een in aanmerking komende staat, </w:t>
      </w:r>
      <w:r w:rsidRPr="004C6A5D">
        <w:rPr>
          <w:b/>
          <w:bCs/>
          <w:i/>
          <w:iCs/>
          <w:sz w:val="20"/>
          <w:szCs w:val="20"/>
        </w:rPr>
        <w:t>nadat zij de identiteit van de klager heeft geverifieerd</w:t>
      </w:r>
      <w:r w:rsidRPr="004C6A5D">
        <w:rPr>
          <w:i/>
          <w:iCs/>
          <w:sz w:val="20"/>
          <w:szCs w:val="20"/>
        </w:rPr>
        <w:t xml:space="preserve"> en heeft geverifieerd dat de klacht voldoet aan de voorwaarden van artikel 5, punt k), i) tot en met iv), van deze Order</w:t>
      </w:r>
      <w:r w:rsidRPr="004C6A5D">
        <w:rPr>
          <w:sz w:val="20"/>
          <w:szCs w:val="20"/>
        </w:rPr>
        <w:t xml:space="preserve">.” Intelligence Community Directive (ICD) 126 bepaalt in </w:t>
      </w:r>
      <w:r w:rsidRPr="004C6A5D">
        <w:rPr>
          <w:b/>
          <w:sz w:val="20"/>
          <w:szCs w:val="20"/>
        </w:rPr>
        <w:t>Sectie E(1)(c)(8</w:t>
      </w:r>
      <w:r w:rsidRPr="004C6A5D">
        <w:rPr>
          <w:sz w:val="20"/>
          <w:szCs w:val="20"/>
        </w:rPr>
        <w:t xml:space="preserve">) bovendien: </w:t>
      </w:r>
      <w:r w:rsidRPr="004C6A5D">
        <w:rPr>
          <w:i/>
          <w:iCs/>
          <w:sz w:val="20"/>
          <w:szCs w:val="20"/>
        </w:rPr>
        <w:t xml:space="preserve">“Om een ingediende klacht een ‘in aanmerking komende klacht’ te laten zijn </w:t>
      </w:r>
      <w:r w:rsidR="0049501C">
        <w:rPr>
          <w:i/>
          <w:iCs/>
          <w:sz w:val="20"/>
          <w:szCs w:val="20"/>
        </w:rPr>
        <w:t>en dus</w:t>
      </w:r>
      <w:r w:rsidRPr="004C6A5D">
        <w:rPr>
          <w:i/>
          <w:iCs/>
          <w:sz w:val="20"/>
          <w:szCs w:val="20"/>
        </w:rPr>
        <w:t xml:space="preserve"> in overeenstemming is met de omschrijving van ‘een onder Executive Order 14086 vallende schending’ en ‘in aanmerking komende klacht’, moet de klacht:</w:t>
      </w:r>
      <w:r w:rsidRPr="004C6A5D">
        <w:rPr>
          <w:i/>
          <w:sz w:val="20"/>
          <w:szCs w:val="20"/>
        </w:rPr>
        <w:t xml:space="preserve"> (..) </w:t>
      </w:r>
      <w:r w:rsidRPr="004C6A5D">
        <w:rPr>
          <w:b/>
          <w:bCs/>
          <w:i/>
          <w:sz w:val="20"/>
          <w:szCs w:val="20"/>
        </w:rPr>
        <w:t>een verificatie bevatten</w:t>
      </w:r>
      <w:r w:rsidRPr="004C6A5D">
        <w:rPr>
          <w:i/>
          <w:sz w:val="20"/>
          <w:szCs w:val="20"/>
        </w:rPr>
        <w:t xml:space="preserve"> door de bevoegde overheidsinstantie in een in aanmerking komende staat:  </w:t>
      </w:r>
      <w:r w:rsidRPr="004C6A5D">
        <w:rPr>
          <w:i/>
          <w:iCs/>
          <w:sz w:val="20"/>
          <w:szCs w:val="20"/>
        </w:rPr>
        <w:t>a.</w:t>
      </w:r>
      <w:r w:rsidRPr="004C6A5D">
        <w:rPr>
          <w:sz w:val="20"/>
          <w:szCs w:val="20"/>
        </w:rPr>
        <w:t xml:space="preserve"> </w:t>
      </w:r>
      <w:r w:rsidRPr="004C6A5D">
        <w:rPr>
          <w:i/>
          <w:iCs/>
          <w:sz w:val="20"/>
          <w:szCs w:val="20"/>
        </w:rPr>
        <w:t>van de identiteit van de klager, en b.</w:t>
      </w:r>
      <w:r w:rsidR="00E16053" w:rsidRPr="004C6A5D">
        <w:rPr>
          <w:i/>
          <w:iCs/>
          <w:sz w:val="20"/>
          <w:szCs w:val="20"/>
        </w:rPr>
        <w:t xml:space="preserve"> </w:t>
      </w:r>
      <w:r w:rsidRPr="004C6A5D">
        <w:rPr>
          <w:i/>
          <w:iCs/>
          <w:sz w:val="20"/>
          <w:szCs w:val="20"/>
        </w:rPr>
        <w:t>dat de klacht voldoet aan de voorwaarden van Sectie E.1.c, onder l) tot en met 7, van deze Richtlijn”</w:t>
      </w:r>
      <w:r w:rsidRPr="004C6A5D">
        <w:rPr>
          <w:sz w:val="20"/>
          <w:szCs w:val="20"/>
        </w:rPr>
        <w:t xml:space="preserve"> en in </w:t>
      </w:r>
      <w:r w:rsidRPr="004C6A5D">
        <w:rPr>
          <w:b/>
          <w:bCs/>
          <w:sz w:val="20"/>
          <w:szCs w:val="20"/>
        </w:rPr>
        <w:t>deel E, punt 1, onder e), van de ICD</w:t>
      </w:r>
      <w:r w:rsidRPr="004C6A5D">
        <w:rPr>
          <w:sz w:val="20"/>
          <w:szCs w:val="20"/>
        </w:rPr>
        <w:t>: “</w:t>
      </w:r>
      <w:r w:rsidRPr="004C6A5D">
        <w:rPr>
          <w:i/>
          <w:iCs/>
          <w:sz w:val="20"/>
          <w:szCs w:val="20"/>
        </w:rPr>
        <w:t xml:space="preserve">Bij de toezending van de klacht door een bevoegde overheidsinstantie in een in aanmerking komende staat moet ook </w:t>
      </w:r>
      <w:r w:rsidRPr="004C6A5D">
        <w:rPr>
          <w:b/>
          <w:bCs/>
          <w:i/>
          <w:iCs/>
          <w:sz w:val="20"/>
          <w:szCs w:val="20"/>
        </w:rPr>
        <w:t>beschreven worden op welke wijze de instantie de identiteit van de klager heeft geverifieerd.</w:t>
      </w:r>
      <w:r w:rsidRPr="004C6A5D">
        <w:rPr>
          <w:b/>
          <w:i/>
          <w:sz w:val="20"/>
          <w:szCs w:val="20"/>
        </w:rPr>
        <w:t xml:space="preserve"> </w:t>
      </w:r>
      <w:r w:rsidRPr="004C6A5D">
        <w:rPr>
          <w:i/>
          <w:sz w:val="20"/>
          <w:szCs w:val="20"/>
        </w:rPr>
        <w:t>De CLPO baseert zich op de verificatie van de identiteit van de klager door de bevoegde overheidsinstantie in een in aanmerking komende staat, maar indien de informatie die door de bevoegde overheidsinstantie in een in aanmerking komende staat is verstrekt of het daaropvolgende onderzoek van de klacht twijfels oproepen over de identiteit van de klager, dan kan de CLPO de overheidsinstantie in een in aanmerking komende staat om aanvullende informatie verzoeken op een wijze die</w:t>
      </w:r>
      <w:r w:rsidRPr="004C6A5D">
        <w:rPr>
          <w:i/>
          <w:iCs/>
          <w:sz w:val="20"/>
          <w:szCs w:val="20"/>
        </w:rPr>
        <w:t xml:space="preserve"> geen informatiebronnen of -methoden onthult of anderszins aangeeft of een persoon daadwerkelijk het voorwerp is geweest van activiteiten op het gebied van inlichtingen uit berichtenverkeer[...].”</w:t>
      </w:r>
    </w:p>
  </w:footnote>
  <w:footnote w:id="9">
    <w:p w14:paraId="724DE85E" w14:textId="50FC5A5B" w:rsidR="00F15436" w:rsidRPr="004C6A5D" w:rsidRDefault="00F15436" w:rsidP="00602D6D">
      <w:pPr>
        <w:spacing w:before="2" w:line="237" w:lineRule="auto"/>
        <w:ind w:left="115" w:right="110"/>
        <w:jc w:val="both"/>
        <w:rPr>
          <w:sz w:val="20"/>
          <w:szCs w:val="20"/>
        </w:rPr>
      </w:pPr>
      <w:r w:rsidRPr="004C6A5D">
        <w:rPr>
          <w:rStyle w:val="Voetnootmarkering"/>
          <w:sz w:val="20"/>
          <w:szCs w:val="20"/>
        </w:rPr>
        <w:footnoteRef/>
      </w:r>
      <w:r w:rsidRPr="004C6A5D">
        <w:rPr>
          <w:sz w:val="20"/>
          <w:szCs w:val="20"/>
        </w:rPr>
        <w:t xml:space="preserve"> Sectie E(1)(f) </w:t>
      </w:r>
      <w:r w:rsidR="00CC4A5B" w:rsidRPr="004C6A5D">
        <w:rPr>
          <w:sz w:val="20"/>
          <w:szCs w:val="20"/>
        </w:rPr>
        <w:t>van</w:t>
      </w:r>
      <w:r w:rsidRPr="004C6A5D">
        <w:rPr>
          <w:sz w:val="20"/>
          <w:szCs w:val="20"/>
        </w:rPr>
        <w:t xml:space="preserve"> Intelligence Community Directive 126 bepaalt dat: “Indien de CLPO vaststelt dat de klacht geen in aanmerking komende klacht is omdat zij niet voldoet aan de voorwaarden van Sectie E.1.c. of niet voldoet aan de voorwaarden van Sectie E.1.d. van de ICD, stelt de CLPO de bevoegde overheidsinstantie in een in aanmerking komende staat via </w:t>
      </w:r>
      <w:r w:rsidRPr="004C6A5D">
        <w:rPr>
          <w:b/>
          <w:bCs/>
          <w:sz w:val="20"/>
          <w:szCs w:val="20"/>
        </w:rPr>
        <w:t>versleutelde elektronische communicatie en in de Engelse taal</w:t>
      </w:r>
      <w:r w:rsidRPr="004C6A5D">
        <w:rPr>
          <w:sz w:val="20"/>
          <w:szCs w:val="20"/>
        </w:rPr>
        <w:t xml:space="preserve"> schriftelijk in kennis van de tekortkomingen in de klacht.”</w:t>
      </w:r>
    </w:p>
  </w:footnote>
  <w:footnote w:id="10">
    <w:p w14:paraId="51D02197" w14:textId="014F4ABF" w:rsidR="00F15436" w:rsidRPr="004C6A5D" w:rsidRDefault="00F15436" w:rsidP="00602D6D">
      <w:pPr>
        <w:spacing w:before="2" w:line="237" w:lineRule="auto"/>
        <w:ind w:left="115" w:right="110"/>
        <w:jc w:val="both"/>
        <w:rPr>
          <w:sz w:val="20"/>
          <w:szCs w:val="20"/>
        </w:rPr>
      </w:pPr>
      <w:r w:rsidRPr="004C6A5D">
        <w:rPr>
          <w:rStyle w:val="Voetnootmarkering"/>
          <w:sz w:val="20"/>
          <w:szCs w:val="20"/>
        </w:rPr>
        <w:footnoteRef/>
      </w:r>
      <w:r w:rsidRPr="004C6A5D">
        <w:rPr>
          <w:sz w:val="20"/>
          <w:szCs w:val="20"/>
        </w:rPr>
        <w:t xml:space="preserve"> Ten behoeve van dit document worden verwijzingen naar de Civil Liberties Protection Officer (‘CLPO’) opgevat als de Civil Liberties Protection Officer (functionaris voor de bescherming van de burgerlijke vrijheden) van het Amerikaanse Bureau van de directeur van de nationale inlichtingendienst (‘ODNI CLPO’).</w:t>
      </w:r>
    </w:p>
  </w:footnote>
  <w:footnote w:id="11">
    <w:p w14:paraId="12870729" w14:textId="120522F8" w:rsidR="00F15436" w:rsidRPr="004C6A5D" w:rsidRDefault="00F15436" w:rsidP="00602D6D">
      <w:pPr>
        <w:spacing w:before="2" w:line="237" w:lineRule="auto"/>
        <w:ind w:left="115" w:right="110"/>
        <w:jc w:val="both"/>
        <w:rPr>
          <w:sz w:val="20"/>
          <w:szCs w:val="20"/>
        </w:rPr>
      </w:pPr>
      <w:r w:rsidRPr="004C6A5D">
        <w:rPr>
          <w:rStyle w:val="Voetnootmarkering"/>
          <w:sz w:val="20"/>
          <w:szCs w:val="20"/>
        </w:rPr>
        <w:footnoteRef/>
      </w:r>
      <w:r w:rsidRPr="004C6A5D">
        <w:rPr>
          <w:sz w:val="20"/>
          <w:szCs w:val="20"/>
        </w:rPr>
        <w:t xml:space="preserve"> Dit kan bijvoorbeeld het volgende omvatten: administratieve maatregelen om procedurele of technische schendingen met betrekking tot anderszins rechtmatige toegang te verhelpen; het beëindigen van het verzamelen van gegevens wanneer het verzamelen ervan niet rechtmatig is toegestaan; het wissen van gegevens die zonder rechtmatige toestemming zijn verkregen; het wissen van resultaten van onrechtmatig verrichte bevragingen van rechtmatig verzamelde gegevens; beperking van de toegang tot gegevens.</w:t>
      </w:r>
    </w:p>
  </w:footnote>
  <w:footnote w:id="12">
    <w:p w14:paraId="1F7C144B" w14:textId="3033F2DC" w:rsidR="00F15436" w:rsidRPr="00CB6AF3" w:rsidRDefault="00F15436" w:rsidP="00602D6D">
      <w:pPr>
        <w:spacing w:before="2" w:line="237" w:lineRule="auto"/>
        <w:ind w:left="115" w:right="110"/>
        <w:jc w:val="both"/>
        <w:rPr>
          <w:sz w:val="20"/>
          <w:szCs w:val="20"/>
          <w:lang w:val="pt-PT"/>
        </w:rPr>
      </w:pPr>
      <w:r w:rsidRPr="004C6A5D">
        <w:rPr>
          <w:rStyle w:val="Voetnootmarkering"/>
          <w:sz w:val="20"/>
          <w:szCs w:val="20"/>
        </w:rPr>
        <w:footnoteRef/>
      </w:r>
      <w:r w:rsidRPr="00CB6AF3">
        <w:rPr>
          <w:sz w:val="20"/>
          <w:szCs w:val="20"/>
          <w:lang w:val="pt-PT"/>
        </w:rPr>
        <w:t xml:space="preserve"> E.O. 14086, Sectie 3(c)(E)(1).</w:t>
      </w:r>
    </w:p>
  </w:footnote>
  <w:footnote w:id="13">
    <w:p w14:paraId="2B59FE0E" w14:textId="4FB58401" w:rsidR="00F15436" w:rsidRPr="004C6A5D" w:rsidRDefault="00F15436" w:rsidP="00602D6D">
      <w:pPr>
        <w:spacing w:before="2" w:line="237" w:lineRule="auto"/>
        <w:ind w:left="115" w:right="110"/>
        <w:jc w:val="both"/>
        <w:rPr>
          <w:sz w:val="20"/>
          <w:szCs w:val="20"/>
        </w:rPr>
      </w:pPr>
      <w:r w:rsidRPr="004C6A5D">
        <w:rPr>
          <w:rStyle w:val="Voetnootmarkering"/>
          <w:sz w:val="20"/>
          <w:szCs w:val="20"/>
        </w:rPr>
        <w:footnoteRef/>
      </w:r>
      <w:r w:rsidRPr="004C6A5D">
        <w:rPr>
          <w:sz w:val="20"/>
          <w:szCs w:val="20"/>
        </w:rPr>
        <w:t xml:space="preserve"> De data die </w:t>
      </w:r>
      <w:r w:rsidR="00D13954">
        <w:rPr>
          <w:sz w:val="20"/>
          <w:szCs w:val="20"/>
        </w:rPr>
        <w:t xml:space="preserve">bepalend zijn of </w:t>
      </w:r>
      <w:r w:rsidRPr="004C6A5D">
        <w:rPr>
          <w:sz w:val="20"/>
          <w:szCs w:val="20"/>
        </w:rPr>
        <w:t xml:space="preserve">uw beroep binnen 60 dagen is ingediend, zijn de datum van kennisgeving door uw </w:t>
      </w:r>
      <w:r w:rsidR="00AB1631">
        <w:rPr>
          <w:sz w:val="20"/>
          <w:szCs w:val="20"/>
        </w:rPr>
        <w:t>toezichthoude</w:t>
      </w:r>
      <w:r w:rsidR="00F24864">
        <w:rPr>
          <w:sz w:val="20"/>
          <w:szCs w:val="20"/>
        </w:rPr>
        <w:t>nde autoriteit</w:t>
      </w:r>
      <w:r w:rsidR="00AB1631" w:rsidRPr="004C6A5D">
        <w:rPr>
          <w:sz w:val="20"/>
          <w:szCs w:val="20"/>
        </w:rPr>
        <w:t xml:space="preserve"> </w:t>
      </w:r>
      <w:r w:rsidRPr="004C6A5D">
        <w:rPr>
          <w:sz w:val="20"/>
          <w:szCs w:val="20"/>
        </w:rPr>
        <w:t xml:space="preserve">van de vaststelling van de CLPO en de datum van indiening van uw beroep bij uw </w:t>
      </w:r>
      <w:r w:rsidR="00AB1631">
        <w:rPr>
          <w:sz w:val="20"/>
          <w:szCs w:val="20"/>
        </w:rPr>
        <w:t>toezichthoude</w:t>
      </w:r>
      <w:r w:rsidR="00302961">
        <w:rPr>
          <w:sz w:val="20"/>
          <w:szCs w:val="20"/>
        </w:rPr>
        <w:t>nde autoriteit</w:t>
      </w:r>
      <w:r w:rsidRPr="004C6A5D">
        <w:rPr>
          <w:sz w:val="20"/>
          <w:szCs w:val="20"/>
        </w:rPr>
        <w:t>.</w:t>
      </w:r>
    </w:p>
  </w:footnote>
  <w:footnote w:id="14">
    <w:p w14:paraId="50587B80" w14:textId="0183E315" w:rsidR="00F15436" w:rsidRPr="00CB6AF3" w:rsidRDefault="00F15436" w:rsidP="00602D6D">
      <w:pPr>
        <w:spacing w:before="2" w:line="237" w:lineRule="auto"/>
        <w:ind w:left="115" w:right="110"/>
        <w:jc w:val="both"/>
        <w:rPr>
          <w:sz w:val="20"/>
          <w:szCs w:val="20"/>
          <w:lang w:val="pt-PT"/>
        </w:rPr>
      </w:pPr>
      <w:r w:rsidRPr="004C6A5D">
        <w:rPr>
          <w:rStyle w:val="Voetnootmarkering"/>
          <w:sz w:val="20"/>
          <w:szCs w:val="20"/>
        </w:rPr>
        <w:footnoteRef/>
      </w:r>
      <w:r w:rsidRPr="00CB6AF3">
        <w:rPr>
          <w:sz w:val="20"/>
          <w:szCs w:val="20"/>
          <w:lang w:val="pt-PT"/>
        </w:rPr>
        <w:t xml:space="preserve"> E.O. 14086, Sectie 3(d)(i)(H).</w:t>
      </w:r>
    </w:p>
  </w:footnote>
  <w:footnote w:id="15">
    <w:p w14:paraId="4BFA9558" w14:textId="6C8F4991" w:rsidR="00F15436" w:rsidRPr="004C6A5D" w:rsidRDefault="00F15436" w:rsidP="00602D6D">
      <w:pPr>
        <w:spacing w:before="2" w:line="237" w:lineRule="auto"/>
        <w:ind w:left="115" w:right="110"/>
        <w:jc w:val="both"/>
        <w:rPr>
          <w:sz w:val="20"/>
          <w:szCs w:val="20"/>
        </w:rPr>
      </w:pPr>
      <w:r w:rsidRPr="004C6A5D">
        <w:rPr>
          <w:rStyle w:val="Voetnootmarkering"/>
          <w:sz w:val="20"/>
          <w:szCs w:val="20"/>
        </w:rPr>
        <w:footnoteRef/>
      </w:r>
      <w:r w:rsidRPr="004C6A5D">
        <w:rPr>
          <w:sz w:val="20"/>
          <w:szCs w:val="20"/>
        </w:rPr>
        <w:t xml:space="preserve"> Deze informatie wordt alleen gebruikt om contact met u op te nemen als er aanvullende informatie nodig is met betrekking tot uw verzoek of, indien van toepassing, om u het antwoord op uw verzoek mee te delen.</w:t>
      </w:r>
    </w:p>
  </w:footnote>
  <w:footnote w:id="16">
    <w:p w14:paraId="180C872D" w14:textId="3B75C9BA" w:rsidR="007E5614" w:rsidRPr="004C6A5D" w:rsidRDefault="007E5614" w:rsidP="00602D6D">
      <w:pPr>
        <w:spacing w:before="2" w:line="237" w:lineRule="auto"/>
        <w:ind w:left="115" w:right="110"/>
        <w:jc w:val="both"/>
        <w:rPr>
          <w:sz w:val="20"/>
          <w:szCs w:val="20"/>
        </w:rPr>
      </w:pPr>
      <w:r w:rsidRPr="004C6A5D">
        <w:rPr>
          <w:rStyle w:val="Voetnootmarkering"/>
          <w:sz w:val="20"/>
          <w:szCs w:val="20"/>
        </w:rPr>
        <w:footnoteRef/>
      </w:r>
      <w:r w:rsidRPr="004C6A5D">
        <w:rPr>
          <w:sz w:val="20"/>
          <w:szCs w:val="20"/>
        </w:rPr>
        <w:t xml:space="preserve"> E.O. 14086, Sectie 4(k)(v) en Sectie E(1)(c)(8) van de Intelligence Community Directive 126.</w:t>
      </w:r>
    </w:p>
  </w:footnote>
  <w:footnote w:id="17">
    <w:p w14:paraId="74EBCC6C" w14:textId="2563C661" w:rsidR="00546D3D" w:rsidRPr="008E0490" w:rsidRDefault="00546D3D" w:rsidP="004C6A5D">
      <w:pPr>
        <w:spacing w:before="2" w:line="237" w:lineRule="auto"/>
        <w:ind w:left="115" w:right="110"/>
        <w:jc w:val="both"/>
        <w:rPr>
          <w:sz w:val="18"/>
          <w:szCs w:val="18"/>
          <w:lang w:val="en-GB"/>
        </w:rPr>
      </w:pPr>
      <w:r w:rsidRPr="004C6A5D">
        <w:rPr>
          <w:rStyle w:val="Voetnootmarkering"/>
          <w:sz w:val="20"/>
          <w:szCs w:val="20"/>
        </w:rPr>
        <w:footnoteRef/>
      </w:r>
      <w:r w:rsidRPr="008E0490">
        <w:rPr>
          <w:sz w:val="20"/>
          <w:szCs w:val="20"/>
          <w:lang w:val="en-GB"/>
        </w:rPr>
        <w:t xml:space="preserve"> Zie E.O.</w:t>
      </w:r>
      <w:r w:rsidRPr="008E0490">
        <w:rPr>
          <w:sz w:val="20"/>
          <w:szCs w:val="20"/>
          <w:lang w:val="en-GB"/>
        </w:rPr>
        <w:tab/>
        <w:t>14086,</w:t>
      </w:r>
      <w:r w:rsidRPr="008E0490">
        <w:rPr>
          <w:sz w:val="20"/>
          <w:szCs w:val="20"/>
          <w:lang w:val="en-GB"/>
        </w:rPr>
        <w:tab/>
        <w:t>Sectie</w:t>
      </w:r>
      <w:r w:rsidRPr="008E0490">
        <w:rPr>
          <w:sz w:val="20"/>
          <w:szCs w:val="20"/>
          <w:lang w:val="en-GB"/>
        </w:rPr>
        <w:tab/>
        <w:t>4(k)(v)</w:t>
      </w:r>
      <w:r w:rsidRPr="008E0490">
        <w:rPr>
          <w:b/>
          <w:color w:val="0562C1"/>
          <w:sz w:val="20"/>
          <w:szCs w:val="20"/>
          <w:u w:val="single" w:color="0562C1"/>
          <w:lang w:val="en-GB"/>
        </w:rPr>
        <w:t>;</w:t>
      </w:r>
      <w:r w:rsidRPr="008E0490">
        <w:rPr>
          <w:b/>
          <w:color w:val="0562C1"/>
          <w:sz w:val="20"/>
          <w:szCs w:val="20"/>
          <w:u w:val="single" w:color="0562C1"/>
          <w:lang w:val="en-GB"/>
        </w:rPr>
        <w:tab/>
      </w:r>
      <w:r w:rsidRPr="008E0490">
        <w:rPr>
          <w:sz w:val="20"/>
          <w:szCs w:val="20"/>
          <w:lang w:val="en-GB"/>
        </w:rPr>
        <w:t>Intelligence</w:t>
      </w:r>
      <w:r w:rsidRPr="008E0490">
        <w:rPr>
          <w:sz w:val="20"/>
          <w:szCs w:val="20"/>
          <w:lang w:val="en-GB"/>
        </w:rPr>
        <w:tab/>
        <w:t>Community</w:t>
      </w:r>
      <w:r w:rsidRPr="008E0490">
        <w:rPr>
          <w:sz w:val="20"/>
          <w:szCs w:val="20"/>
          <w:lang w:val="en-GB"/>
        </w:rPr>
        <w:tab/>
        <w:t>Directive</w:t>
      </w:r>
      <w:r w:rsidRPr="008E0490">
        <w:rPr>
          <w:sz w:val="20"/>
          <w:szCs w:val="20"/>
          <w:lang w:val="en-GB"/>
        </w:rPr>
        <w:tab/>
        <w:t>(ICD)</w:t>
      </w:r>
      <w:r w:rsidRPr="008E0490">
        <w:rPr>
          <w:sz w:val="20"/>
          <w:szCs w:val="20"/>
          <w:lang w:val="en-GB"/>
        </w:rPr>
        <w:tab/>
        <w:t>126</w:t>
      </w:r>
      <w:r w:rsidR="004C6A5D" w:rsidRPr="008E0490">
        <w:rPr>
          <w:sz w:val="20"/>
          <w:szCs w:val="20"/>
          <w:lang w:val="en-GB"/>
        </w:rPr>
        <w:t xml:space="preserve"> </w:t>
      </w:r>
      <w:hyperlink r:id="rId9">
        <w:r w:rsidRPr="008E0490">
          <w:rPr>
            <w:color w:val="0562C1"/>
            <w:sz w:val="20"/>
            <w:szCs w:val="20"/>
            <w:u w:val="single" w:color="0562C1"/>
            <w:lang w:val="en-GB"/>
          </w:rPr>
          <w:t>(https://www.dni.gov/files/documents/ICD/ICD 126-Implementation-Procedures-for-SIGINT-Redress-Mechanism.pdf</w:t>
        </w:r>
        <w:r w:rsidRPr="008E0490">
          <w:rPr>
            <w:sz w:val="20"/>
            <w:szCs w:val="20"/>
            <w:lang w:val="en-GB"/>
          </w:rPr>
          <w:t>)</w:t>
        </w:r>
      </w:hyperlink>
      <w:r w:rsidRPr="008E0490">
        <w:rPr>
          <w:b/>
          <w:sz w:val="20"/>
          <w:szCs w:val="20"/>
          <w:lang w:val="en-GB"/>
        </w:rPr>
        <w:t>, Secties E(1)(c)(8</w:t>
      </w:r>
      <w:r w:rsidRPr="008E0490">
        <w:rPr>
          <w:sz w:val="20"/>
          <w:szCs w:val="20"/>
          <w:lang w:val="en-GB"/>
        </w:rPr>
        <w:t xml:space="preserve">) en </w:t>
      </w:r>
      <w:r w:rsidRPr="008E0490">
        <w:rPr>
          <w:b/>
          <w:sz w:val="20"/>
          <w:szCs w:val="20"/>
          <w:lang w:val="en-GB"/>
        </w:rPr>
        <w:t xml:space="preserve">E(1)(e) </w:t>
      </w:r>
      <w:r w:rsidRPr="008E0490">
        <w:rPr>
          <w:sz w:val="20"/>
          <w:szCs w:val="20"/>
          <w:lang w:val="en-GB"/>
        </w:rPr>
        <w:t>.’</w:t>
      </w:r>
    </w:p>
    <w:p w14:paraId="61DCB83A" w14:textId="150E533B" w:rsidR="00546D3D" w:rsidRPr="008E0490" w:rsidRDefault="00546D3D">
      <w:pPr>
        <w:pStyle w:val="Voetnoottekst"/>
        <w:rPr>
          <w:lang w:val="en-GB"/>
        </w:rPr>
      </w:pPr>
    </w:p>
  </w:footnote>
  <w:footnote w:id="18">
    <w:p w14:paraId="337D92C6" w14:textId="3AEFE4C7" w:rsidR="00A76FE9" w:rsidRDefault="00A76FE9" w:rsidP="00602D6D">
      <w:pPr>
        <w:spacing w:before="2" w:line="237" w:lineRule="auto"/>
        <w:ind w:left="115" w:right="110"/>
        <w:jc w:val="both"/>
      </w:pPr>
      <w:r>
        <w:rPr>
          <w:rStyle w:val="Voetnootmarkering"/>
        </w:rPr>
        <w:footnoteRef/>
      </w:r>
      <w:r>
        <w:t xml:space="preserve"> </w:t>
      </w:r>
      <w:r w:rsidRPr="008D43AD">
        <w:rPr>
          <w:sz w:val="20"/>
          <w:szCs w:val="20"/>
        </w:rPr>
        <w:t>Dit kan een telefoonnummer of een e-mailadres zijn (een enkele verwijzing naar een naam is niet voldoende).</w:t>
      </w:r>
    </w:p>
  </w:footnote>
  <w:footnote w:id="19">
    <w:p w14:paraId="73D9F94B" w14:textId="3CA8F10A" w:rsidR="00A76FE9" w:rsidRPr="008D43AD" w:rsidRDefault="00A76FE9" w:rsidP="00602D6D">
      <w:pPr>
        <w:spacing w:before="2" w:line="237" w:lineRule="auto"/>
        <w:ind w:left="115" w:right="110"/>
        <w:jc w:val="both"/>
        <w:rPr>
          <w:sz w:val="20"/>
          <w:szCs w:val="20"/>
        </w:rPr>
      </w:pPr>
      <w:r>
        <w:rPr>
          <w:rStyle w:val="Voetnootmarkering"/>
        </w:rPr>
        <w:footnoteRef/>
      </w:r>
      <w:r>
        <w:t xml:space="preserve"> </w:t>
      </w:r>
      <w:r w:rsidRPr="008D43AD">
        <w:rPr>
          <w:sz w:val="20"/>
          <w:szCs w:val="20"/>
        </w:rPr>
        <w:t>Een dergelijk</w:t>
      </w:r>
      <w:r w:rsidR="00EC364D">
        <w:rPr>
          <w:sz w:val="20"/>
          <w:szCs w:val="20"/>
        </w:rPr>
        <w:t>e</w:t>
      </w:r>
      <w:r w:rsidRPr="008D43AD">
        <w:rPr>
          <w:sz w:val="20"/>
          <w:szCs w:val="20"/>
        </w:rPr>
        <w:t xml:space="preserve"> </w:t>
      </w:r>
      <w:r w:rsidR="00EC364D">
        <w:rPr>
          <w:sz w:val="20"/>
          <w:szCs w:val="20"/>
        </w:rPr>
        <w:t>genoegdoening</w:t>
      </w:r>
      <w:r w:rsidRPr="008D43AD">
        <w:rPr>
          <w:sz w:val="20"/>
          <w:szCs w:val="20"/>
        </w:rPr>
        <w:t xml:space="preserve"> kan wettelijke maatregelen omvatten die bedoeld zijn om een vastgestelde</w:t>
      </w:r>
      <w:r w:rsidR="00EC364D">
        <w:rPr>
          <w:sz w:val="20"/>
          <w:szCs w:val="20"/>
        </w:rPr>
        <w:t>,</w:t>
      </w:r>
      <w:r w:rsidRPr="008D43AD">
        <w:rPr>
          <w:sz w:val="20"/>
          <w:szCs w:val="20"/>
        </w:rPr>
        <w:t xml:space="preserve"> onder E</w:t>
      </w:r>
      <w:r w:rsidR="0088505E" w:rsidRPr="008D43AD">
        <w:rPr>
          <w:sz w:val="20"/>
          <w:szCs w:val="20"/>
        </w:rPr>
        <w:t>.</w:t>
      </w:r>
      <w:r w:rsidRPr="008D43AD">
        <w:rPr>
          <w:sz w:val="20"/>
          <w:szCs w:val="20"/>
        </w:rPr>
        <w:t>O</w:t>
      </w:r>
      <w:r w:rsidR="0088505E" w:rsidRPr="008D43AD">
        <w:rPr>
          <w:sz w:val="20"/>
          <w:szCs w:val="20"/>
        </w:rPr>
        <w:t>.</w:t>
      </w:r>
      <w:r w:rsidRPr="008D43AD">
        <w:rPr>
          <w:sz w:val="20"/>
          <w:szCs w:val="20"/>
        </w:rPr>
        <w:t xml:space="preserve"> 14086 vallende </w:t>
      </w:r>
      <w:r w:rsidR="00EC364D">
        <w:rPr>
          <w:sz w:val="20"/>
          <w:szCs w:val="20"/>
        </w:rPr>
        <w:t>overtreding</w:t>
      </w:r>
      <w:r w:rsidRPr="008D43AD">
        <w:rPr>
          <w:sz w:val="20"/>
          <w:szCs w:val="20"/>
        </w:rPr>
        <w:t xml:space="preserve"> volledig ongedaan te maken. Hierbij kan het bijvoorbeeld gaan om (</w:t>
      </w:r>
      <w:r w:rsidR="00AB1631">
        <w:rPr>
          <w:sz w:val="20"/>
          <w:szCs w:val="20"/>
        </w:rPr>
        <w:t>onder andere</w:t>
      </w:r>
      <w:r w:rsidRPr="008D43AD">
        <w:rPr>
          <w:sz w:val="20"/>
          <w:szCs w:val="20"/>
        </w:rPr>
        <w:t>) administratieve maatregelen om procedurele of technische schendingen te verhelpen; het wissen van uw persoonsgegevens die zonder rechtmatige toestemming zijn verkregen; het wissen van resultaten van onrechtmatig verrichte bevragingen van rechtmatig verzamelde persoonsgegevens; beperking van de toegang tot uw persoonsgegevens.</w:t>
      </w:r>
    </w:p>
  </w:footnote>
  <w:footnote w:id="20">
    <w:p w14:paraId="5DB6DE70" w14:textId="0D7A6164" w:rsidR="00A76FE9" w:rsidRDefault="00A76FE9" w:rsidP="00602D6D">
      <w:pPr>
        <w:spacing w:before="2" w:line="237" w:lineRule="auto"/>
        <w:ind w:left="115" w:right="110"/>
        <w:jc w:val="both"/>
      </w:pPr>
      <w:r w:rsidRPr="008D43AD">
        <w:rPr>
          <w:rStyle w:val="Voetnootmarkering"/>
          <w:sz w:val="20"/>
          <w:szCs w:val="20"/>
        </w:rPr>
        <w:footnoteRef/>
      </w:r>
      <w:r w:rsidRPr="008D43AD">
        <w:rPr>
          <w:sz w:val="20"/>
          <w:szCs w:val="20"/>
        </w:rPr>
        <w:t xml:space="preserve"> Sectie 3(d)(v)(C) </w:t>
      </w:r>
      <w:r w:rsidR="00DC45CD" w:rsidRPr="008D43AD">
        <w:rPr>
          <w:sz w:val="20"/>
          <w:szCs w:val="20"/>
        </w:rPr>
        <w:t>van</w:t>
      </w:r>
      <w:r w:rsidRPr="008D43AD">
        <w:rPr>
          <w:sz w:val="20"/>
          <w:szCs w:val="20"/>
        </w:rPr>
        <w:t xml:space="preserve"> E.O. 14086; Zie ook Overweging 199 van het Adequaatheidsbesluit, waarin het volgende staat: </w:t>
      </w:r>
      <w:r w:rsidRPr="008D43AD">
        <w:rPr>
          <w:i/>
          <w:iCs/>
          <w:sz w:val="20"/>
          <w:szCs w:val="20"/>
        </w:rPr>
        <w:t xml:space="preserve">“Tenslotte heeft eenieder, naast de in de overwegingen 176 tot en met 198 vermelde </w:t>
      </w:r>
      <w:r w:rsidR="00AB1631" w:rsidRPr="00AB1631">
        <w:rPr>
          <w:i/>
          <w:iCs/>
          <w:sz w:val="20"/>
          <w:szCs w:val="20"/>
        </w:rPr>
        <w:t>klacht</w:t>
      </w:r>
      <w:r w:rsidRPr="008D43AD">
        <w:rPr>
          <w:i/>
          <w:iCs/>
          <w:sz w:val="20"/>
          <w:szCs w:val="20"/>
        </w:rPr>
        <w:t>mogelijkheden, het recht om toegang te vragen tot bestaande gegevens van federale agentschappen op grond van de FOIA (Freedom of Information Act), ook wanneer deze de persoonsgegevens van de betrokkene bevatten”.</w:t>
      </w:r>
      <w:r w:rsidRPr="008D43AD">
        <w:rPr>
          <w:sz w:val="20"/>
          <w:szCs w:val="20"/>
        </w:rPr>
        <w:t xml:space="preserve"> </w:t>
      </w:r>
      <w:r w:rsidR="00EC364D">
        <w:rPr>
          <w:sz w:val="20"/>
          <w:szCs w:val="20"/>
        </w:rPr>
        <w:t>K</w:t>
      </w:r>
      <w:r w:rsidRPr="008D43AD">
        <w:rPr>
          <w:sz w:val="20"/>
          <w:szCs w:val="20"/>
        </w:rPr>
        <w:t>lachten over bepaalde schendingen van de Amerikaanse wetgeving met betrekking tot Amerikaanse activiteiten op het gebied van inlichtingen uit berichtenverkeer die uw individuele privacy en burgerlijke vrijheden schaden en met betrekking tot uw persoonsgegevens die van de EU en de EER naar de V</w:t>
      </w:r>
      <w:r w:rsidR="00AB1631">
        <w:rPr>
          <w:sz w:val="20"/>
          <w:szCs w:val="20"/>
        </w:rPr>
        <w:t xml:space="preserve">erenigde </w:t>
      </w:r>
      <w:r w:rsidRPr="008D43AD">
        <w:rPr>
          <w:sz w:val="20"/>
          <w:szCs w:val="20"/>
        </w:rPr>
        <w:t>S</w:t>
      </w:r>
      <w:r w:rsidR="00AB1631">
        <w:rPr>
          <w:sz w:val="20"/>
          <w:szCs w:val="20"/>
        </w:rPr>
        <w:t>taten</w:t>
      </w:r>
      <w:r w:rsidRPr="008D43AD">
        <w:rPr>
          <w:sz w:val="20"/>
          <w:szCs w:val="20"/>
        </w:rPr>
        <w:t xml:space="preserve"> zijn verzonden, </w:t>
      </w:r>
      <w:r w:rsidR="00EC364D">
        <w:rPr>
          <w:sz w:val="20"/>
          <w:szCs w:val="20"/>
        </w:rPr>
        <w:t xml:space="preserve">mogen </w:t>
      </w:r>
      <w:r w:rsidRPr="008D43AD">
        <w:rPr>
          <w:sz w:val="20"/>
          <w:szCs w:val="20"/>
        </w:rPr>
        <w:t>alleen</w:t>
      </w:r>
      <w:r w:rsidRPr="008D43AD">
        <w:rPr>
          <w:b/>
          <w:bCs/>
          <w:sz w:val="20"/>
          <w:szCs w:val="20"/>
        </w:rPr>
        <w:t xml:space="preserve"> worden ingediend bij de Amerikaanse CLPO</w:t>
      </w:r>
      <w:r w:rsidRPr="008D43AD">
        <w:rPr>
          <w:sz w:val="20"/>
          <w:szCs w:val="20"/>
        </w:rPr>
        <w:t xml:space="preserve"> en niet bij Amerikaanse FOIA-kantoren. Meer informatie over de FOIA is te vinden op </w:t>
      </w:r>
      <w:hyperlink r:id="rId10">
        <w:r w:rsidRPr="008D43AD">
          <w:rPr>
            <w:color w:val="0462C1"/>
            <w:sz w:val="20"/>
            <w:szCs w:val="20"/>
            <w:u w:val="single" w:color="0462C1"/>
          </w:rPr>
          <w:t>https://www.dni.gov/index.php/foia</w:t>
        </w:r>
        <w:r w:rsidRPr="008D43AD">
          <w:rPr>
            <w:sz w:val="20"/>
            <w:szCs w:val="20"/>
          </w:rPr>
          <w:t>.</w:t>
        </w:r>
      </w:hyperlink>
      <w:r w:rsidRPr="008D43AD">
        <w:rPr>
          <w:sz w:val="20"/>
          <w:szCs w:val="20"/>
        </w:rPr>
        <w:t xml:space="preserve"> Instructies voor het indienen van FOIA-verzoeken zijn te vinden op de website van het ODNI </w:t>
      </w:r>
      <w:hyperlink r:id="rId11">
        <w:r w:rsidRPr="008D43AD">
          <w:rPr>
            <w:sz w:val="20"/>
            <w:szCs w:val="20"/>
          </w:rPr>
          <w:t>(</w:t>
        </w:r>
        <w:r w:rsidRPr="008D43AD">
          <w:rPr>
            <w:color w:val="0462C1"/>
            <w:sz w:val="20"/>
            <w:szCs w:val="20"/>
            <w:u w:val="single" w:color="0462C1"/>
          </w:rPr>
          <w:t>https://www.dni.gov/index.php/make-a-records-request</w:t>
        </w:r>
      </w:hyperlink>
      <w:r w:rsidRPr="008D43AD">
        <w:rPr>
          <w:sz w:val="20"/>
          <w:szCs w:val="20"/>
        </w:rPr>
        <w:t xml:space="preserve">), de website van de relevante inlichtingendiensten en de webpagina van het ministerie van Justitie </w:t>
      </w:r>
      <w:hyperlink r:id="rId12">
        <w:r w:rsidRPr="008D43AD">
          <w:rPr>
            <w:sz w:val="20"/>
            <w:szCs w:val="20"/>
          </w:rPr>
          <w:t>(</w:t>
        </w:r>
        <w:r w:rsidRPr="008D43AD">
          <w:rPr>
            <w:color w:val="0462C1"/>
            <w:sz w:val="20"/>
            <w:szCs w:val="20"/>
            <w:u w:val="single" w:color="0462C1"/>
          </w:rPr>
          <w:t>https://www.justice.gov/oip/make-foia-request-doj</w:t>
        </w:r>
      </w:hyperlink>
      <w:r w:rsidRPr="00C83D37">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44ECA"/>
    <w:multiLevelType w:val="hybridMultilevel"/>
    <w:tmpl w:val="BA7CAFE6"/>
    <w:lvl w:ilvl="0" w:tplc="9606F656">
      <w:start w:val="1"/>
      <w:numFmt w:val="lowerLetter"/>
      <w:lvlText w:val="%1."/>
      <w:lvlJc w:val="left"/>
      <w:pPr>
        <w:ind w:left="115" w:hanging="260"/>
      </w:pPr>
      <w:rPr>
        <w:rFonts w:ascii="Calibri" w:eastAsia="Calibri" w:hAnsi="Calibri" w:cs="Calibri" w:hint="default"/>
        <w:b w:val="0"/>
        <w:bCs w:val="0"/>
        <w:i w:val="0"/>
        <w:iCs w:val="0"/>
        <w:spacing w:val="-1"/>
        <w:w w:val="100"/>
        <w:sz w:val="24"/>
        <w:szCs w:val="24"/>
        <w:lang w:val="en-US" w:eastAsia="en-US" w:bidi="ar-SA"/>
      </w:rPr>
    </w:lvl>
    <w:lvl w:ilvl="1" w:tplc="E7D0CD8A">
      <w:start w:val="1"/>
      <w:numFmt w:val="lowerRoman"/>
      <w:lvlText w:val="%2."/>
      <w:lvlJc w:val="left"/>
      <w:pPr>
        <w:ind w:left="1546" w:hanging="480"/>
        <w:jc w:val="right"/>
      </w:pPr>
      <w:rPr>
        <w:rFonts w:ascii="Calibri" w:eastAsia="Calibri" w:hAnsi="Calibri" w:cs="Calibri" w:hint="default"/>
        <w:b w:val="0"/>
        <w:bCs w:val="0"/>
        <w:i w:val="0"/>
        <w:iCs w:val="0"/>
        <w:spacing w:val="-1"/>
        <w:w w:val="100"/>
        <w:sz w:val="24"/>
        <w:szCs w:val="24"/>
        <w:lang w:val="en-US" w:eastAsia="en-US" w:bidi="ar-SA"/>
      </w:rPr>
    </w:lvl>
    <w:lvl w:ilvl="2" w:tplc="A3187AA4">
      <w:numFmt w:val="bullet"/>
      <w:lvlText w:val="•"/>
      <w:lvlJc w:val="left"/>
      <w:pPr>
        <w:ind w:left="2402" w:hanging="480"/>
      </w:pPr>
      <w:rPr>
        <w:rFonts w:hint="default"/>
        <w:lang w:val="en-US" w:eastAsia="en-US" w:bidi="ar-SA"/>
      </w:rPr>
    </w:lvl>
    <w:lvl w:ilvl="3" w:tplc="72BCF090">
      <w:numFmt w:val="bullet"/>
      <w:lvlText w:val="•"/>
      <w:lvlJc w:val="left"/>
      <w:pPr>
        <w:ind w:left="3265" w:hanging="480"/>
      </w:pPr>
      <w:rPr>
        <w:rFonts w:hint="default"/>
        <w:lang w:val="en-US" w:eastAsia="en-US" w:bidi="ar-SA"/>
      </w:rPr>
    </w:lvl>
    <w:lvl w:ilvl="4" w:tplc="833AE032">
      <w:numFmt w:val="bullet"/>
      <w:lvlText w:val="•"/>
      <w:lvlJc w:val="left"/>
      <w:pPr>
        <w:ind w:left="4128" w:hanging="480"/>
      </w:pPr>
      <w:rPr>
        <w:rFonts w:hint="default"/>
        <w:lang w:val="en-US" w:eastAsia="en-US" w:bidi="ar-SA"/>
      </w:rPr>
    </w:lvl>
    <w:lvl w:ilvl="5" w:tplc="764E2B8E">
      <w:numFmt w:val="bullet"/>
      <w:lvlText w:val="•"/>
      <w:lvlJc w:val="left"/>
      <w:pPr>
        <w:ind w:left="4991" w:hanging="480"/>
      </w:pPr>
      <w:rPr>
        <w:rFonts w:hint="default"/>
        <w:lang w:val="en-US" w:eastAsia="en-US" w:bidi="ar-SA"/>
      </w:rPr>
    </w:lvl>
    <w:lvl w:ilvl="6" w:tplc="3BA485BA">
      <w:numFmt w:val="bullet"/>
      <w:lvlText w:val="•"/>
      <w:lvlJc w:val="left"/>
      <w:pPr>
        <w:ind w:left="5853" w:hanging="480"/>
      </w:pPr>
      <w:rPr>
        <w:rFonts w:hint="default"/>
        <w:lang w:val="en-US" w:eastAsia="en-US" w:bidi="ar-SA"/>
      </w:rPr>
    </w:lvl>
    <w:lvl w:ilvl="7" w:tplc="958EEEA6">
      <w:numFmt w:val="bullet"/>
      <w:lvlText w:val="•"/>
      <w:lvlJc w:val="left"/>
      <w:pPr>
        <w:ind w:left="6716" w:hanging="480"/>
      </w:pPr>
      <w:rPr>
        <w:rFonts w:hint="default"/>
        <w:lang w:val="en-US" w:eastAsia="en-US" w:bidi="ar-SA"/>
      </w:rPr>
    </w:lvl>
    <w:lvl w:ilvl="8" w:tplc="D870DD9C">
      <w:numFmt w:val="bullet"/>
      <w:lvlText w:val="•"/>
      <w:lvlJc w:val="left"/>
      <w:pPr>
        <w:ind w:left="7579" w:hanging="480"/>
      </w:pPr>
      <w:rPr>
        <w:rFonts w:hint="default"/>
        <w:lang w:val="en-US" w:eastAsia="en-US" w:bidi="ar-SA"/>
      </w:rPr>
    </w:lvl>
  </w:abstractNum>
  <w:abstractNum w:abstractNumId="1" w15:restartNumberingAfterBreak="0">
    <w:nsid w:val="74CD33B9"/>
    <w:multiLevelType w:val="hybridMultilevel"/>
    <w:tmpl w:val="107243E4"/>
    <w:lvl w:ilvl="0" w:tplc="E0023A78">
      <w:start w:val="1"/>
      <w:numFmt w:val="decimal"/>
      <w:lvlText w:val="%1."/>
      <w:lvlJc w:val="left"/>
      <w:pPr>
        <w:ind w:left="901" w:hanging="360"/>
      </w:pPr>
      <w:rPr>
        <w:rFonts w:ascii="Calibri" w:eastAsia="Calibri" w:hAnsi="Calibri" w:cs="Calibri" w:hint="default"/>
        <w:b w:val="0"/>
        <w:bCs w:val="0"/>
        <w:i w:val="0"/>
        <w:iCs w:val="0"/>
        <w:spacing w:val="-2"/>
        <w:w w:val="100"/>
        <w:sz w:val="24"/>
        <w:szCs w:val="24"/>
        <w:lang w:val="en-US" w:eastAsia="en-US" w:bidi="ar-SA"/>
      </w:rPr>
    </w:lvl>
    <w:lvl w:ilvl="1" w:tplc="7FF0A9DE">
      <w:numFmt w:val="bullet"/>
      <w:lvlText w:val="•"/>
      <w:lvlJc w:val="left"/>
      <w:pPr>
        <w:ind w:left="1740" w:hanging="360"/>
      </w:pPr>
      <w:rPr>
        <w:rFonts w:hint="default"/>
        <w:lang w:val="en-US" w:eastAsia="en-US" w:bidi="ar-SA"/>
      </w:rPr>
    </w:lvl>
    <w:lvl w:ilvl="2" w:tplc="4ED228FA">
      <w:numFmt w:val="bullet"/>
      <w:lvlText w:val="•"/>
      <w:lvlJc w:val="left"/>
      <w:pPr>
        <w:ind w:left="2581" w:hanging="360"/>
      </w:pPr>
      <w:rPr>
        <w:rFonts w:hint="default"/>
        <w:lang w:val="en-US" w:eastAsia="en-US" w:bidi="ar-SA"/>
      </w:rPr>
    </w:lvl>
    <w:lvl w:ilvl="3" w:tplc="86922A06">
      <w:numFmt w:val="bullet"/>
      <w:lvlText w:val="•"/>
      <w:lvlJc w:val="left"/>
      <w:pPr>
        <w:ind w:left="3421" w:hanging="360"/>
      </w:pPr>
      <w:rPr>
        <w:rFonts w:hint="default"/>
        <w:lang w:val="en-US" w:eastAsia="en-US" w:bidi="ar-SA"/>
      </w:rPr>
    </w:lvl>
    <w:lvl w:ilvl="4" w:tplc="820EE1D4">
      <w:numFmt w:val="bullet"/>
      <w:lvlText w:val="•"/>
      <w:lvlJc w:val="left"/>
      <w:pPr>
        <w:ind w:left="4262" w:hanging="360"/>
      </w:pPr>
      <w:rPr>
        <w:rFonts w:hint="default"/>
        <w:lang w:val="en-US" w:eastAsia="en-US" w:bidi="ar-SA"/>
      </w:rPr>
    </w:lvl>
    <w:lvl w:ilvl="5" w:tplc="2DF8EE6A">
      <w:numFmt w:val="bullet"/>
      <w:lvlText w:val="•"/>
      <w:lvlJc w:val="left"/>
      <w:pPr>
        <w:ind w:left="5102" w:hanging="360"/>
      </w:pPr>
      <w:rPr>
        <w:rFonts w:hint="default"/>
        <w:lang w:val="en-US" w:eastAsia="en-US" w:bidi="ar-SA"/>
      </w:rPr>
    </w:lvl>
    <w:lvl w:ilvl="6" w:tplc="16E6D722">
      <w:numFmt w:val="bullet"/>
      <w:lvlText w:val="•"/>
      <w:lvlJc w:val="left"/>
      <w:pPr>
        <w:ind w:left="5943" w:hanging="360"/>
      </w:pPr>
      <w:rPr>
        <w:rFonts w:hint="default"/>
        <w:lang w:val="en-US" w:eastAsia="en-US" w:bidi="ar-SA"/>
      </w:rPr>
    </w:lvl>
    <w:lvl w:ilvl="7" w:tplc="F1642A22">
      <w:numFmt w:val="bullet"/>
      <w:lvlText w:val="•"/>
      <w:lvlJc w:val="left"/>
      <w:pPr>
        <w:ind w:left="6783" w:hanging="360"/>
      </w:pPr>
      <w:rPr>
        <w:rFonts w:hint="default"/>
        <w:lang w:val="en-US" w:eastAsia="en-US" w:bidi="ar-SA"/>
      </w:rPr>
    </w:lvl>
    <w:lvl w:ilvl="8" w:tplc="B84E3714">
      <w:numFmt w:val="bullet"/>
      <w:lvlText w:val="•"/>
      <w:lvlJc w:val="left"/>
      <w:pPr>
        <w:ind w:left="7624"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D12"/>
    <w:rsid w:val="000774DB"/>
    <w:rsid w:val="00087A73"/>
    <w:rsid w:val="000B6FFC"/>
    <w:rsid w:val="00233D61"/>
    <w:rsid w:val="002A6BE0"/>
    <w:rsid w:val="002B4CCF"/>
    <w:rsid w:val="00302961"/>
    <w:rsid w:val="00345AB1"/>
    <w:rsid w:val="003A5FBD"/>
    <w:rsid w:val="003C62DE"/>
    <w:rsid w:val="0049501C"/>
    <w:rsid w:val="004B4475"/>
    <w:rsid w:val="004C2C49"/>
    <w:rsid w:val="004C6A5D"/>
    <w:rsid w:val="00515606"/>
    <w:rsid w:val="00527EF9"/>
    <w:rsid w:val="00546D3D"/>
    <w:rsid w:val="005B68A0"/>
    <w:rsid w:val="00602D6D"/>
    <w:rsid w:val="00627B51"/>
    <w:rsid w:val="00677D12"/>
    <w:rsid w:val="007E5614"/>
    <w:rsid w:val="0088505E"/>
    <w:rsid w:val="008D43AD"/>
    <w:rsid w:val="008E0490"/>
    <w:rsid w:val="0099058F"/>
    <w:rsid w:val="00A60C1E"/>
    <w:rsid w:val="00A76FE9"/>
    <w:rsid w:val="00A9138D"/>
    <w:rsid w:val="00A97522"/>
    <w:rsid w:val="00AB1631"/>
    <w:rsid w:val="00AE1D20"/>
    <w:rsid w:val="00CB6AF3"/>
    <w:rsid w:val="00CC4A5B"/>
    <w:rsid w:val="00D13954"/>
    <w:rsid w:val="00D30AD3"/>
    <w:rsid w:val="00D86022"/>
    <w:rsid w:val="00D86747"/>
    <w:rsid w:val="00DC45CD"/>
    <w:rsid w:val="00E16053"/>
    <w:rsid w:val="00EB1AA1"/>
    <w:rsid w:val="00EC364D"/>
    <w:rsid w:val="00F15436"/>
    <w:rsid w:val="00F24864"/>
    <w:rsid w:val="00F600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F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Calibri" w:eastAsia="Calibri" w:hAnsi="Calibri" w:cs="Calibri"/>
    </w:rPr>
  </w:style>
  <w:style w:type="paragraph" w:styleId="Kop1">
    <w:name w:val="heading 1"/>
    <w:basedOn w:val="Standaard"/>
    <w:uiPriority w:val="9"/>
    <w:qFormat/>
    <w:pPr>
      <w:spacing w:before="2"/>
      <w:ind w:left="115"/>
      <w:outlineLvl w:val="0"/>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rPr>
      <w:sz w:val="24"/>
      <w:szCs w:val="24"/>
    </w:rPr>
  </w:style>
  <w:style w:type="paragraph" w:styleId="Titel">
    <w:name w:val="Title"/>
    <w:basedOn w:val="Standaard"/>
    <w:uiPriority w:val="10"/>
    <w:qFormat/>
    <w:pPr>
      <w:ind w:left="133" w:right="148" w:hanging="5"/>
      <w:jc w:val="center"/>
    </w:pPr>
    <w:rPr>
      <w:b/>
      <w:bCs/>
      <w:sz w:val="36"/>
      <w:szCs w:val="36"/>
    </w:rPr>
  </w:style>
  <w:style w:type="paragraph" w:styleId="Lijstalinea">
    <w:name w:val="List Paragraph"/>
    <w:basedOn w:val="Standaard"/>
    <w:uiPriority w:val="1"/>
    <w:qFormat/>
    <w:pPr>
      <w:ind w:left="1546"/>
    </w:pPr>
  </w:style>
  <w:style w:type="paragraph" w:customStyle="1" w:styleId="TableParagraph">
    <w:name w:val="Table Paragraph"/>
    <w:basedOn w:val="Standaard"/>
    <w:uiPriority w:val="1"/>
    <w:qFormat/>
    <w:pPr>
      <w:spacing w:before="1"/>
      <w:ind w:left="1190"/>
    </w:pPr>
  </w:style>
  <w:style w:type="paragraph" w:styleId="Koptekst">
    <w:name w:val="header"/>
    <w:basedOn w:val="Standaard"/>
    <w:link w:val="KoptekstChar"/>
    <w:uiPriority w:val="99"/>
    <w:unhideWhenUsed/>
    <w:rsid w:val="00087A73"/>
    <w:pPr>
      <w:tabs>
        <w:tab w:val="center" w:pos="4513"/>
        <w:tab w:val="right" w:pos="9026"/>
      </w:tabs>
    </w:pPr>
  </w:style>
  <w:style w:type="character" w:customStyle="1" w:styleId="KoptekstChar">
    <w:name w:val="Koptekst Char"/>
    <w:basedOn w:val="Standaardalinea-lettertype"/>
    <w:link w:val="Koptekst"/>
    <w:uiPriority w:val="99"/>
    <w:rsid w:val="00087A73"/>
    <w:rPr>
      <w:rFonts w:ascii="Calibri" w:eastAsia="Calibri" w:hAnsi="Calibri" w:cs="Calibri"/>
    </w:rPr>
  </w:style>
  <w:style w:type="paragraph" w:styleId="Voettekst">
    <w:name w:val="footer"/>
    <w:basedOn w:val="Standaard"/>
    <w:link w:val="VoettekstChar"/>
    <w:uiPriority w:val="99"/>
    <w:unhideWhenUsed/>
    <w:rsid w:val="00087A73"/>
    <w:pPr>
      <w:tabs>
        <w:tab w:val="center" w:pos="4513"/>
        <w:tab w:val="right" w:pos="9026"/>
      </w:tabs>
    </w:pPr>
  </w:style>
  <w:style w:type="character" w:customStyle="1" w:styleId="VoettekstChar">
    <w:name w:val="Voettekst Char"/>
    <w:basedOn w:val="Standaardalinea-lettertype"/>
    <w:link w:val="Voettekst"/>
    <w:uiPriority w:val="99"/>
    <w:rsid w:val="00087A73"/>
    <w:rPr>
      <w:rFonts w:ascii="Calibri" w:eastAsia="Calibri" w:hAnsi="Calibri" w:cs="Calibri"/>
    </w:rPr>
  </w:style>
  <w:style w:type="paragraph" w:styleId="Voetnoottekst">
    <w:name w:val="footnote text"/>
    <w:basedOn w:val="Standaard"/>
    <w:link w:val="VoetnoottekstChar"/>
    <w:uiPriority w:val="99"/>
    <w:semiHidden/>
    <w:unhideWhenUsed/>
    <w:rsid w:val="00D86022"/>
    <w:rPr>
      <w:sz w:val="20"/>
      <w:szCs w:val="20"/>
    </w:rPr>
  </w:style>
  <w:style w:type="character" w:customStyle="1" w:styleId="VoetnoottekstChar">
    <w:name w:val="Voetnoottekst Char"/>
    <w:basedOn w:val="Standaardalinea-lettertype"/>
    <w:link w:val="Voetnoottekst"/>
    <w:uiPriority w:val="99"/>
    <w:semiHidden/>
    <w:rsid w:val="00D86022"/>
    <w:rPr>
      <w:rFonts w:ascii="Calibri" w:eastAsia="Calibri" w:hAnsi="Calibri" w:cs="Calibri"/>
      <w:sz w:val="20"/>
      <w:szCs w:val="20"/>
    </w:rPr>
  </w:style>
  <w:style w:type="character" w:styleId="Voetnootmarkering">
    <w:name w:val="footnote reference"/>
    <w:basedOn w:val="Standaardalinea-lettertype"/>
    <w:uiPriority w:val="99"/>
    <w:semiHidden/>
    <w:unhideWhenUsed/>
    <w:rsid w:val="00D86022"/>
    <w:rPr>
      <w:vertAlign w:val="superscript"/>
    </w:rPr>
  </w:style>
  <w:style w:type="character" w:styleId="Verwijzingopmerking">
    <w:name w:val="annotation reference"/>
    <w:basedOn w:val="Standaardalinea-lettertype"/>
    <w:uiPriority w:val="99"/>
    <w:semiHidden/>
    <w:unhideWhenUsed/>
    <w:rsid w:val="00627B51"/>
    <w:rPr>
      <w:sz w:val="16"/>
      <w:szCs w:val="16"/>
    </w:rPr>
  </w:style>
  <w:style w:type="paragraph" w:styleId="Tekstopmerking">
    <w:name w:val="annotation text"/>
    <w:basedOn w:val="Standaard"/>
    <w:link w:val="TekstopmerkingChar"/>
    <w:uiPriority w:val="99"/>
    <w:semiHidden/>
    <w:unhideWhenUsed/>
    <w:rsid w:val="00627B51"/>
    <w:rPr>
      <w:sz w:val="20"/>
      <w:szCs w:val="20"/>
    </w:rPr>
  </w:style>
  <w:style w:type="character" w:customStyle="1" w:styleId="TekstopmerkingChar">
    <w:name w:val="Tekst opmerking Char"/>
    <w:basedOn w:val="Standaardalinea-lettertype"/>
    <w:link w:val="Tekstopmerking"/>
    <w:uiPriority w:val="99"/>
    <w:semiHidden/>
    <w:rsid w:val="00627B51"/>
    <w:rPr>
      <w:rFonts w:ascii="Calibri" w:eastAsia="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627B51"/>
    <w:rPr>
      <w:b/>
      <w:bCs/>
    </w:rPr>
  </w:style>
  <w:style w:type="character" w:customStyle="1" w:styleId="OnderwerpvanopmerkingChar">
    <w:name w:val="Onderwerp van opmerking Char"/>
    <w:basedOn w:val="TekstopmerkingChar"/>
    <w:link w:val="Onderwerpvanopmerking"/>
    <w:uiPriority w:val="99"/>
    <w:semiHidden/>
    <w:rsid w:val="00627B51"/>
    <w:rPr>
      <w:rFonts w:ascii="Calibri" w:eastAsia="Calibri" w:hAnsi="Calibri" w:cs="Calibri"/>
      <w:b/>
      <w:bCs/>
      <w:sz w:val="20"/>
      <w:szCs w:val="20"/>
    </w:rPr>
  </w:style>
  <w:style w:type="paragraph" w:styleId="Ballontekst">
    <w:name w:val="Balloon Text"/>
    <w:basedOn w:val="Standaard"/>
    <w:link w:val="BallontekstChar"/>
    <w:uiPriority w:val="99"/>
    <w:semiHidden/>
    <w:unhideWhenUsed/>
    <w:rsid w:val="00627B5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27B51"/>
    <w:rPr>
      <w:rFonts w:ascii="Segoe UI" w:eastAsia="Calibri" w:hAnsi="Segoe UI" w:cs="Segoe UI"/>
      <w:sz w:val="18"/>
      <w:szCs w:val="18"/>
    </w:rPr>
  </w:style>
  <w:style w:type="character" w:styleId="Hyperlink">
    <w:name w:val="Hyperlink"/>
    <w:basedOn w:val="Standaardalinea-lettertype"/>
    <w:uiPriority w:val="99"/>
    <w:unhideWhenUsed/>
    <w:rsid w:val="00515606"/>
    <w:rPr>
      <w:color w:val="0000FF"/>
      <w:u w:val="single"/>
    </w:rPr>
  </w:style>
  <w:style w:type="character" w:styleId="GevolgdeHyperlink">
    <w:name w:val="FollowedHyperlink"/>
    <w:basedOn w:val="Standaardalinea-lettertype"/>
    <w:uiPriority w:val="99"/>
    <w:semiHidden/>
    <w:unhideWhenUsed/>
    <w:rsid w:val="004B44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toriteitpersoonsgegevens.nl/themas/internationaal/doorgifte-binnen-en-buiten-de-eer/doorgifte-persoonsgegevens-naar-de-vs" TargetMode="External"/><Relationship Id="rId5" Type="http://schemas.openxmlformats.org/officeDocument/2006/relationships/webSettings" Target="webSettings.xml"/><Relationship Id="rId10" Type="http://schemas.openxmlformats.org/officeDocument/2006/relationships/hyperlink" Target="https://edpb.europa.eu/about-edpb/about-edpb/members_en" TargetMode="External"/><Relationship Id="rId4" Type="http://schemas.openxmlformats.org/officeDocument/2006/relationships/settings" Target="settings.xml"/><Relationship Id="rId9" Type="http://schemas.openxmlformats.org/officeDocument/2006/relationships/hyperlink" Target="https://autoriteitpersoonsgegevens.nl/themas/internationaal/doorgifte-binnen-en-buiten-de-eer/doorgifte-persoonsgegevens-naar-de-v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dni.gov/files/documents/ICD/ICD_126-Implementation-Procedures-for-SIGINT-Redress-Mechanism.pdf" TargetMode="External"/><Relationship Id="rId3" Type="http://schemas.openxmlformats.org/officeDocument/2006/relationships/hyperlink" Target="https://www.presidency.ucsb.edu/documents/executive-order-14086-enhancing-safeguards-for-united-states-signals-intelligence" TargetMode="External"/><Relationship Id="rId7" Type="http://schemas.openxmlformats.org/officeDocument/2006/relationships/hyperlink" Target="https://www.dni.gov/files/documents/ICD/ICD_126-Implementation-Procedures-for-SIGINT-Redress-Mechanism.pdf" TargetMode="External"/><Relationship Id="rId12" Type="http://schemas.openxmlformats.org/officeDocument/2006/relationships/hyperlink" Target="https://www.justice.gov/oip/make-foia-request-doj" TargetMode="External"/><Relationship Id="rId2" Type="http://schemas.openxmlformats.org/officeDocument/2006/relationships/hyperlink" Target="https://commission.europa.eu/system/files/2023-07/Adequacy%20decision%20EU-US%20Data%20Privacy%20Framework_en.pdf" TargetMode="External"/><Relationship Id="rId1" Type="http://schemas.openxmlformats.org/officeDocument/2006/relationships/hyperlink" Target="https://commission.europa.eu/system/files/2023-07/Adequacy%20decision%20EU-US%20Data%20Privacy%20Framework_en.pdf" TargetMode="External"/><Relationship Id="rId6" Type="http://schemas.openxmlformats.org/officeDocument/2006/relationships/hyperlink" Target="https://www.justice.gov/d9/pages/attachments/2022/10/07/dprc_final_rule_signed.pdf" TargetMode="External"/><Relationship Id="rId11" Type="http://schemas.openxmlformats.org/officeDocument/2006/relationships/hyperlink" Target="https://www.dni.gov/index.php/make-a-records-request" TargetMode="External"/><Relationship Id="rId5" Type="http://schemas.openxmlformats.org/officeDocument/2006/relationships/hyperlink" Target="https://www.govinfo.gov/content/pkg/FR-2022-10-14/pdf/2022-22531.pdf" TargetMode="External"/><Relationship Id="rId10" Type="http://schemas.openxmlformats.org/officeDocument/2006/relationships/hyperlink" Target="https://www.dni.gov/index.php/foia" TargetMode="External"/><Relationship Id="rId4" Type="http://schemas.openxmlformats.org/officeDocument/2006/relationships/hyperlink" Target="https://www.presidency.ucsb.edu/documents/executive-order-14086-enhancing-safeguards-for-united-states-signals-intelligence" TargetMode="External"/><Relationship Id="rId9" Type="http://schemas.openxmlformats.org/officeDocument/2006/relationships/hyperlink" Target="https://www.dni.gov/files/documents/ICD/ICD_126-Implementation-Procedures-for-SIGINT-Redress-Mechanis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00E5A-9A81-4C7B-8CA9-52D4F36A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1617</Words>
  <Characters>8894</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Klachtformulier Data Protection Framework - Amerikaanse inlichtingendiensten</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Klachtformulier Data Protection Framework - Amerikaanse inlichtingendiensten</dc:title>
  <dc:creator/>
  <cp:lastModifiedBy/>
  <cp:revision>1</cp:revision>
  <dcterms:created xsi:type="dcterms:W3CDTF">2024-07-10T15:08:00Z</dcterms:created>
  <dcterms:modified xsi:type="dcterms:W3CDTF">2024-07-10T15:24:00Z</dcterms:modified>
</cp:coreProperties>
</file>